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5C3D7B" w:rsidRDefault="00D320D6" w:rsidP="00892432">
      <w:pPr>
        <w:spacing w:before="14" w:line="200" w:lineRule="exact"/>
        <w:ind w:left="426"/>
        <w:jc w:val="center"/>
        <w:rPr>
          <w:rFonts w:ascii="Arial" w:hAnsi="Arial" w:cs="Arial"/>
          <w:b/>
          <w:lang w:val="es-BO"/>
        </w:rPr>
      </w:pPr>
      <w:r w:rsidRPr="005C3D7B">
        <w:rPr>
          <w:rFonts w:ascii="Arial" w:hAnsi="Arial" w:cs="Arial"/>
          <w:b/>
          <w:lang w:val="es-BO"/>
        </w:rPr>
        <w:t>ESPECIFICACIONES T</w:t>
      </w:r>
      <w:r w:rsidR="005422D3" w:rsidRPr="005C3D7B">
        <w:rPr>
          <w:rFonts w:ascii="Arial" w:hAnsi="Arial" w:cs="Arial"/>
          <w:b/>
          <w:lang w:val="es-BO"/>
        </w:rPr>
        <w:t>É</w:t>
      </w:r>
      <w:r w:rsidRPr="005C3D7B">
        <w:rPr>
          <w:rFonts w:ascii="Arial" w:hAnsi="Arial" w:cs="Arial"/>
          <w:b/>
          <w:lang w:val="es-BO"/>
        </w:rPr>
        <w:t xml:space="preserve">CNICAS </w:t>
      </w:r>
      <w:r w:rsidR="00892432" w:rsidRPr="005C3D7B">
        <w:rPr>
          <w:rFonts w:ascii="Arial" w:hAnsi="Arial" w:cs="Arial"/>
          <w:b/>
          <w:lang w:val="es-BO"/>
        </w:rPr>
        <w:t xml:space="preserve">DE </w:t>
      </w:r>
      <w:r w:rsidR="007922E6" w:rsidRPr="005C3D7B">
        <w:rPr>
          <w:rFonts w:ascii="Arial" w:hAnsi="Arial" w:cs="Arial"/>
          <w:b/>
          <w:lang w:val="es-BO"/>
        </w:rPr>
        <w:t>SERVICIO</w:t>
      </w:r>
    </w:p>
    <w:p w:rsidR="00D320D6" w:rsidRPr="005C3D7B" w:rsidRDefault="00A807F0" w:rsidP="00951137">
      <w:pPr>
        <w:spacing w:before="80"/>
        <w:ind w:left="95"/>
        <w:jc w:val="center"/>
        <w:rPr>
          <w:rFonts w:ascii="Arial" w:hAnsi="Arial" w:cs="Arial"/>
          <w:b/>
          <w:lang w:val="es-BO"/>
        </w:rPr>
      </w:pPr>
      <w:r w:rsidRPr="005C3D7B">
        <w:rPr>
          <w:rFonts w:ascii="Arial" w:hAnsi="Arial" w:cs="Arial"/>
          <w:b/>
          <w:lang w:val="es-BO"/>
        </w:rPr>
        <w:t xml:space="preserve">OBJETO DE CONTRATACIÓN: </w:t>
      </w:r>
      <w:r w:rsidR="005C3D7B" w:rsidRPr="005C3D7B">
        <w:rPr>
          <w:rFonts w:ascii="Arial" w:hAnsi="Arial" w:cs="Arial"/>
          <w:b/>
          <w:lang w:val="es-ES" w:eastAsia="es-ES"/>
        </w:rPr>
        <w:t>SERVICIO DE MANTENIMIENTO Y REPARACIÓN DE EQUIPOS UPS PARA LAS ELECCIONES GENERALES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33"/>
      </w:tblGrid>
      <w:tr w:rsidR="00D320D6" w:rsidRPr="009234E0" w:rsidTr="009449E1">
        <w:trPr>
          <w:cantSplit/>
          <w:trHeight w:val="397"/>
          <w:jc w:val="center"/>
        </w:trPr>
        <w:tc>
          <w:tcPr>
            <w:tcW w:w="10336" w:type="dxa"/>
            <w:gridSpan w:val="2"/>
            <w:shd w:val="clear" w:color="auto" w:fill="767171"/>
            <w:vAlign w:val="center"/>
          </w:tcPr>
          <w:p w:rsidR="00D320D6" w:rsidRPr="005C3D7B" w:rsidRDefault="00FA0E1B" w:rsidP="00FA0E1B">
            <w:pPr>
              <w:pStyle w:val="Textoindependiente3"/>
              <w:numPr>
                <w:ilvl w:val="0"/>
                <w:numId w:val="5"/>
              </w:numPr>
              <w:rPr>
                <w:b/>
                <w:bCs/>
                <w:color w:val="FFFFFF"/>
                <w:sz w:val="20"/>
              </w:rPr>
            </w:pPr>
            <w:r w:rsidRPr="005C3D7B">
              <w:rPr>
                <w:b/>
                <w:bCs/>
                <w:color w:val="FFFFFF"/>
                <w:sz w:val="20"/>
              </w:rPr>
              <w:t xml:space="preserve">CARACTERÍSTICAS GENERALES DEL </w:t>
            </w:r>
            <w:r w:rsidR="00D320D6" w:rsidRPr="005C3D7B">
              <w:rPr>
                <w:b/>
                <w:bCs/>
                <w:color w:val="FFFFFF"/>
                <w:sz w:val="20"/>
              </w:rPr>
              <w:t xml:space="preserve">(LOS) </w:t>
            </w:r>
            <w:r w:rsidRPr="005C3D7B">
              <w:rPr>
                <w:b/>
                <w:bCs/>
                <w:color w:val="FFFFFF"/>
                <w:sz w:val="20"/>
              </w:rPr>
              <w:t>SERVICIO</w:t>
            </w:r>
            <w:r w:rsidR="00D320D6" w:rsidRPr="005C3D7B">
              <w:rPr>
                <w:b/>
                <w:bCs/>
                <w:color w:val="FFFFFF"/>
                <w:sz w:val="20"/>
              </w:rPr>
              <w:t>(S)</w:t>
            </w:r>
          </w:p>
        </w:tc>
      </w:tr>
      <w:tr w:rsidR="00D320D6" w:rsidRPr="005C3D7B" w:rsidTr="009449E1">
        <w:trPr>
          <w:cantSplit/>
          <w:trHeight w:val="397"/>
          <w:jc w:val="center"/>
        </w:trPr>
        <w:tc>
          <w:tcPr>
            <w:tcW w:w="10336" w:type="dxa"/>
            <w:gridSpan w:val="2"/>
            <w:shd w:val="clear" w:color="auto" w:fill="D9D9D9" w:themeFill="background1" w:themeFillShade="D9"/>
            <w:vAlign w:val="center"/>
          </w:tcPr>
          <w:p w:rsidR="00D320D6" w:rsidRPr="005C3D7B" w:rsidRDefault="00D320D6" w:rsidP="00B9352B">
            <w:pPr>
              <w:pStyle w:val="Textoindependiente3"/>
              <w:numPr>
                <w:ilvl w:val="0"/>
                <w:numId w:val="3"/>
              </w:numPr>
              <w:rPr>
                <w:bCs/>
                <w:i/>
                <w:iCs/>
                <w:sz w:val="20"/>
              </w:rPr>
            </w:pPr>
            <w:r w:rsidRPr="005C3D7B">
              <w:rPr>
                <w:b/>
                <w:bCs/>
                <w:sz w:val="20"/>
              </w:rPr>
              <w:t xml:space="preserve">REQUISITOS </w:t>
            </w:r>
            <w:r w:rsidR="00FA0E1B" w:rsidRPr="005C3D7B">
              <w:rPr>
                <w:b/>
                <w:bCs/>
                <w:sz w:val="20"/>
              </w:rPr>
              <w:t>DEL SERVICIO</w:t>
            </w:r>
            <w:r w:rsidR="009449E1">
              <w:rPr>
                <w:b/>
                <w:bCs/>
                <w:sz w:val="20"/>
              </w:rPr>
              <w:t xml:space="preserve"> (Especificar)</w:t>
            </w:r>
          </w:p>
        </w:tc>
      </w:tr>
      <w:tr w:rsidR="00D320D6" w:rsidRPr="005C3D7B" w:rsidTr="009449E1">
        <w:trPr>
          <w:cantSplit/>
          <w:trHeight w:val="217"/>
          <w:jc w:val="center"/>
        </w:trPr>
        <w:tc>
          <w:tcPr>
            <w:tcW w:w="603" w:type="dxa"/>
            <w:shd w:val="clear" w:color="auto" w:fill="auto"/>
            <w:vAlign w:val="center"/>
          </w:tcPr>
          <w:p w:rsidR="00D320D6" w:rsidRPr="005C3D7B" w:rsidRDefault="00346BB6" w:rsidP="00B9352B">
            <w:pPr>
              <w:ind w:left="-60" w:right="-108"/>
              <w:contextualSpacing/>
              <w:jc w:val="center"/>
              <w:rPr>
                <w:rFonts w:ascii="Arial" w:hAnsi="Arial" w:cs="Arial"/>
                <w:b/>
              </w:rPr>
            </w:pPr>
            <w:r w:rsidRPr="005C3D7B">
              <w:rPr>
                <w:rFonts w:ascii="Arial" w:hAnsi="Arial" w:cs="Arial"/>
                <w:b/>
                <w:iCs/>
              </w:rPr>
              <w:t>Items</w:t>
            </w:r>
          </w:p>
        </w:tc>
        <w:tc>
          <w:tcPr>
            <w:tcW w:w="9733" w:type="dxa"/>
            <w:shd w:val="clear" w:color="auto" w:fill="auto"/>
            <w:vAlign w:val="center"/>
          </w:tcPr>
          <w:p w:rsidR="00D320D6" w:rsidRPr="005C3D7B" w:rsidRDefault="00D320D6" w:rsidP="00FA0E1B">
            <w:pPr>
              <w:contextualSpacing/>
              <w:jc w:val="center"/>
              <w:rPr>
                <w:rFonts w:ascii="Arial" w:hAnsi="Arial" w:cs="Arial"/>
                <w:b/>
                <w:iCs/>
                <w:lang w:val="es-BO"/>
              </w:rPr>
            </w:pPr>
            <w:r w:rsidRPr="005C3D7B">
              <w:rPr>
                <w:rFonts w:ascii="Arial" w:hAnsi="Arial" w:cs="Arial"/>
                <w:b/>
                <w:iCs/>
                <w:lang w:val="es-BO"/>
              </w:rPr>
              <w:t>Características técnicas</w:t>
            </w:r>
          </w:p>
        </w:tc>
      </w:tr>
      <w:tr w:rsidR="006F661A" w:rsidRPr="009234E0" w:rsidTr="009449E1">
        <w:trPr>
          <w:cantSplit/>
          <w:trHeight w:val="1964"/>
          <w:jc w:val="center"/>
        </w:trPr>
        <w:tc>
          <w:tcPr>
            <w:tcW w:w="603" w:type="dxa"/>
            <w:shd w:val="clear" w:color="auto" w:fill="auto"/>
            <w:vAlign w:val="center"/>
          </w:tcPr>
          <w:p w:rsidR="006F661A" w:rsidRPr="005C3D7B" w:rsidRDefault="006F661A" w:rsidP="00AA6F13">
            <w:pPr>
              <w:pStyle w:val="Textoindependiente3"/>
              <w:jc w:val="center"/>
              <w:rPr>
                <w:sz w:val="20"/>
              </w:rPr>
            </w:pPr>
            <w:r w:rsidRPr="005C3D7B">
              <w:rPr>
                <w:sz w:val="20"/>
              </w:rPr>
              <w:t>1</w:t>
            </w:r>
          </w:p>
        </w:tc>
        <w:tc>
          <w:tcPr>
            <w:tcW w:w="9733" w:type="dxa"/>
            <w:shd w:val="clear" w:color="auto" w:fill="auto"/>
            <w:vAlign w:val="center"/>
          </w:tcPr>
          <w:p w:rsidR="00FB5ACD" w:rsidRDefault="006F661A" w:rsidP="00FB5ACD">
            <w:pPr>
              <w:autoSpaceDE w:val="0"/>
              <w:autoSpaceDN w:val="0"/>
              <w:adjustRightInd w:val="0"/>
              <w:jc w:val="both"/>
              <w:rPr>
                <w:rFonts w:ascii="Arial" w:hAnsi="Arial" w:cs="Arial"/>
                <w:lang w:val="es-BO" w:eastAsia="es-BO"/>
              </w:rPr>
            </w:pPr>
            <w:r w:rsidRPr="005C3D7B">
              <w:rPr>
                <w:rFonts w:ascii="Arial" w:hAnsi="Arial" w:cs="Arial"/>
                <w:lang w:val="es-BO" w:eastAsia="es-BO"/>
              </w:rPr>
              <w:t xml:space="preserve">Mantenimiento y revisión de los UPS de 120 KVA que incluye reconectar  y poner en funcionamiento los UPS para poder efectuar las pruebas de carga necesarios para verificar el correcto funcionamiento de las diferentes etapas electrónicas de los UPS. </w:t>
            </w:r>
            <w:r w:rsidR="00FB5ACD">
              <w:rPr>
                <w:rFonts w:ascii="Arial" w:hAnsi="Arial" w:cs="Arial"/>
                <w:lang w:val="es-BO" w:eastAsia="es-BO"/>
              </w:rPr>
              <w:t>E</w:t>
            </w:r>
            <w:r w:rsidRPr="005C3D7B">
              <w:rPr>
                <w:rFonts w:ascii="Arial" w:hAnsi="Arial" w:cs="Arial"/>
                <w:lang w:val="es-BO" w:eastAsia="es-BO"/>
              </w:rPr>
              <w:t xml:space="preserve">ste mantenimiento </w:t>
            </w:r>
            <w:r w:rsidR="00FB5ACD">
              <w:rPr>
                <w:rFonts w:ascii="Arial" w:hAnsi="Arial" w:cs="Arial"/>
                <w:lang w:val="es-BO" w:eastAsia="es-BO"/>
              </w:rPr>
              <w:t xml:space="preserve">deberá incluir: </w:t>
            </w:r>
          </w:p>
          <w:p w:rsidR="005D04B5" w:rsidRPr="00FB5ACD" w:rsidRDefault="009234E0" w:rsidP="00FB5ACD">
            <w:pPr>
              <w:pStyle w:val="Prrafodelista"/>
              <w:numPr>
                <w:ilvl w:val="0"/>
                <w:numId w:val="23"/>
              </w:numPr>
              <w:autoSpaceDE w:val="0"/>
              <w:autoSpaceDN w:val="0"/>
              <w:adjustRightInd w:val="0"/>
              <w:jc w:val="both"/>
              <w:rPr>
                <w:rFonts w:ascii="Arial" w:hAnsi="Arial" w:cs="Arial"/>
                <w:color w:val="FF0000"/>
                <w:lang w:val="es-BO"/>
              </w:rPr>
            </w:pPr>
            <w:r w:rsidRPr="00FB5ACD">
              <w:rPr>
                <w:rFonts w:ascii="Arial" w:hAnsi="Arial" w:cs="Arial"/>
                <w:color w:val="FF0000"/>
                <w:lang w:val="es-BO"/>
              </w:rPr>
              <w:t>Desarmado de la unidad.</w:t>
            </w:r>
          </w:p>
          <w:p w:rsidR="005D04B5" w:rsidRPr="00A91549" w:rsidRDefault="005D04B5" w:rsidP="005D04B5">
            <w:pPr>
              <w:numPr>
                <w:ilvl w:val="0"/>
                <w:numId w:val="23"/>
              </w:numPr>
              <w:autoSpaceDE w:val="0"/>
              <w:autoSpaceDN w:val="0"/>
              <w:rPr>
                <w:rFonts w:ascii="Arial" w:hAnsi="Arial" w:cs="Arial"/>
                <w:color w:val="FF0000"/>
                <w:lang w:val="es-BO"/>
              </w:rPr>
            </w:pPr>
            <w:r w:rsidRPr="00A91549">
              <w:rPr>
                <w:rFonts w:ascii="Arial" w:hAnsi="Arial" w:cs="Arial"/>
                <w:color w:val="FF0000"/>
                <w:lang w:val="es-BO"/>
              </w:rPr>
              <w:t>Revisión de la electrónica.</w:t>
            </w:r>
          </w:p>
          <w:p w:rsidR="005D04B5" w:rsidRPr="00A91549" w:rsidRDefault="005D04B5" w:rsidP="005D04B5">
            <w:pPr>
              <w:numPr>
                <w:ilvl w:val="0"/>
                <w:numId w:val="23"/>
              </w:numPr>
              <w:autoSpaceDE w:val="0"/>
              <w:autoSpaceDN w:val="0"/>
              <w:rPr>
                <w:rFonts w:ascii="Arial" w:hAnsi="Arial" w:cs="Arial"/>
                <w:color w:val="FF0000"/>
                <w:lang w:val="es-BO"/>
              </w:rPr>
            </w:pPr>
            <w:r w:rsidRPr="00A91549">
              <w:rPr>
                <w:rFonts w:ascii="Arial" w:hAnsi="Arial" w:cs="Arial"/>
                <w:color w:val="FF0000"/>
                <w:lang w:val="es-BO"/>
              </w:rPr>
              <w:t xml:space="preserve">Verificación del funcionamiento de los ventiladores. </w:t>
            </w:r>
          </w:p>
          <w:p w:rsidR="005D04B5" w:rsidRPr="00A91549" w:rsidRDefault="005D04B5" w:rsidP="005D04B5">
            <w:pPr>
              <w:numPr>
                <w:ilvl w:val="0"/>
                <w:numId w:val="23"/>
              </w:numPr>
              <w:autoSpaceDE w:val="0"/>
              <w:autoSpaceDN w:val="0"/>
              <w:rPr>
                <w:rFonts w:ascii="Arial" w:hAnsi="Arial" w:cs="Arial"/>
                <w:color w:val="FF0000"/>
                <w:lang w:val="es-BO"/>
              </w:rPr>
            </w:pPr>
            <w:r w:rsidRPr="00A91549">
              <w:rPr>
                <w:rFonts w:ascii="Arial" w:hAnsi="Arial" w:cs="Arial"/>
                <w:color w:val="FF0000"/>
                <w:lang w:val="es-BO"/>
              </w:rPr>
              <w:t xml:space="preserve">Verificación de los voltajes de entrada y salida. </w:t>
            </w:r>
          </w:p>
          <w:p w:rsidR="005D04B5" w:rsidRPr="00A91549" w:rsidRDefault="005D04B5" w:rsidP="005D04B5">
            <w:pPr>
              <w:numPr>
                <w:ilvl w:val="0"/>
                <w:numId w:val="23"/>
              </w:numPr>
              <w:autoSpaceDE w:val="0"/>
              <w:autoSpaceDN w:val="0"/>
              <w:rPr>
                <w:rFonts w:ascii="Arial" w:hAnsi="Arial" w:cs="Arial"/>
                <w:color w:val="FF0000"/>
                <w:lang w:val="es-BO"/>
              </w:rPr>
            </w:pPr>
            <w:r w:rsidRPr="00A91549">
              <w:rPr>
                <w:rFonts w:ascii="Arial" w:hAnsi="Arial" w:cs="Arial"/>
                <w:color w:val="FF0000"/>
                <w:lang w:val="es-BO"/>
              </w:rPr>
              <w:t xml:space="preserve">Verificación del software y valores de </w:t>
            </w:r>
            <w:proofErr w:type="spellStart"/>
            <w:r w:rsidRPr="00A91549">
              <w:rPr>
                <w:rFonts w:ascii="Arial" w:hAnsi="Arial" w:cs="Arial"/>
                <w:color w:val="FF0000"/>
                <w:lang w:val="es-BO"/>
              </w:rPr>
              <w:t>seteo</w:t>
            </w:r>
            <w:proofErr w:type="spellEnd"/>
            <w:r w:rsidRPr="00A91549">
              <w:rPr>
                <w:rFonts w:ascii="Arial" w:hAnsi="Arial" w:cs="Arial"/>
                <w:color w:val="FF0000"/>
                <w:lang w:val="es-BO"/>
              </w:rPr>
              <w:t xml:space="preserve">. </w:t>
            </w:r>
          </w:p>
          <w:p w:rsidR="005D04B5" w:rsidRPr="00A91549" w:rsidRDefault="005D04B5" w:rsidP="005D04B5">
            <w:pPr>
              <w:numPr>
                <w:ilvl w:val="0"/>
                <w:numId w:val="23"/>
              </w:numPr>
              <w:autoSpaceDE w:val="0"/>
              <w:autoSpaceDN w:val="0"/>
              <w:rPr>
                <w:rFonts w:ascii="Arial" w:hAnsi="Arial" w:cs="Arial"/>
                <w:color w:val="FF0000"/>
                <w:lang w:val="es-BO"/>
              </w:rPr>
            </w:pPr>
            <w:r w:rsidRPr="00A91549">
              <w:rPr>
                <w:rFonts w:ascii="Arial" w:hAnsi="Arial" w:cs="Arial"/>
                <w:color w:val="FF0000"/>
                <w:lang w:val="es-BO"/>
              </w:rPr>
              <w:t xml:space="preserve">Ajuste de conexiones. </w:t>
            </w:r>
          </w:p>
          <w:p w:rsidR="006F661A" w:rsidRDefault="005D04B5" w:rsidP="009234E0">
            <w:pPr>
              <w:numPr>
                <w:ilvl w:val="0"/>
                <w:numId w:val="23"/>
              </w:numPr>
              <w:autoSpaceDE w:val="0"/>
              <w:autoSpaceDN w:val="0"/>
              <w:rPr>
                <w:rFonts w:ascii="Arial" w:hAnsi="Arial" w:cs="Arial"/>
                <w:color w:val="FF0000"/>
                <w:lang w:val="es-BO"/>
              </w:rPr>
            </w:pPr>
            <w:r w:rsidRPr="00A91549">
              <w:rPr>
                <w:rFonts w:ascii="Arial" w:hAnsi="Arial" w:cs="Arial"/>
                <w:color w:val="FF0000"/>
                <w:lang w:val="es-BO"/>
              </w:rPr>
              <w:t xml:space="preserve">Limpieza interna. </w:t>
            </w:r>
          </w:p>
          <w:p w:rsidR="00FB5ACD" w:rsidRPr="009234E0" w:rsidRDefault="00FB5ACD" w:rsidP="00FB5ACD">
            <w:pPr>
              <w:numPr>
                <w:ilvl w:val="0"/>
                <w:numId w:val="23"/>
              </w:numPr>
              <w:autoSpaceDE w:val="0"/>
              <w:autoSpaceDN w:val="0"/>
              <w:rPr>
                <w:rFonts w:ascii="Arial" w:hAnsi="Arial" w:cs="Arial"/>
                <w:color w:val="FF0000"/>
                <w:lang w:val="es-BO"/>
              </w:rPr>
            </w:pPr>
            <w:r>
              <w:rPr>
                <w:rFonts w:ascii="Arial" w:hAnsi="Arial" w:cs="Arial"/>
                <w:color w:val="FF0000"/>
                <w:lang w:val="es-BO"/>
              </w:rPr>
              <w:t>R</w:t>
            </w:r>
            <w:r w:rsidRPr="00FB5ACD">
              <w:rPr>
                <w:rFonts w:ascii="Arial" w:hAnsi="Arial" w:cs="Arial"/>
                <w:color w:val="FF0000"/>
                <w:lang w:val="es-BO"/>
              </w:rPr>
              <w:t>evi</w:t>
            </w:r>
            <w:r>
              <w:rPr>
                <w:rFonts w:ascii="Arial" w:hAnsi="Arial" w:cs="Arial"/>
                <w:color w:val="FF0000"/>
                <w:lang w:val="es-BO"/>
              </w:rPr>
              <w:t>sión, cambio de partes pequeñas</w:t>
            </w:r>
            <w:r w:rsidRPr="00FB5ACD">
              <w:rPr>
                <w:rFonts w:ascii="Arial" w:hAnsi="Arial" w:cs="Arial"/>
                <w:color w:val="FF0000"/>
                <w:lang w:val="es-BO"/>
              </w:rPr>
              <w:t xml:space="preserve"> </w:t>
            </w:r>
            <w:r>
              <w:rPr>
                <w:rFonts w:ascii="Arial" w:hAnsi="Arial" w:cs="Arial"/>
                <w:color w:val="FF0000"/>
                <w:lang w:val="es-BO"/>
              </w:rPr>
              <w:t>(capacitores y resistencias)</w:t>
            </w:r>
          </w:p>
          <w:p w:rsidR="005D04B5" w:rsidRPr="005C3D7B" w:rsidRDefault="006F661A" w:rsidP="005C3D7B">
            <w:pPr>
              <w:autoSpaceDE w:val="0"/>
              <w:autoSpaceDN w:val="0"/>
              <w:adjustRightInd w:val="0"/>
              <w:jc w:val="both"/>
              <w:rPr>
                <w:rFonts w:ascii="Arial" w:hAnsi="Arial" w:cs="Arial"/>
                <w:lang w:val="es-BO" w:eastAsia="es-BO"/>
              </w:rPr>
            </w:pPr>
            <w:r w:rsidRPr="005C3D7B">
              <w:rPr>
                <w:rFonts w:ascii="Arial" w:hAnsi="Arial" w:cs="Arial"/>
                <w:lang w:val="es-BO" w:eastAsia="es-BO"/>
              </w:rPr>
              <w:t>Mantenimiento correctivo de los ventiladores de enfriamiento de velocidad variable de los UPS, en este mantenimiento se incluye el cambio de los mismos por encontrarse quemados, son tres ventiladores por UPS.</w:t>
            </w:r>
          </w:p>
        </w:tc>
      </w:tr>
      <w:tr w:rsidR="00D320D6" w:rsidRPr="005C3D7B" w:rsidTr="009449E1">
        <w:trPr>
          <w:cantSplit/>
          <w:trHeight w:val="376"/>
          <w:jc w:val="center"/>
        </w:trPr>
        <w:tc>
          <w:tcPr>
            <w:tcW w:w="10336" w:type="dxa"/>
            <w:gridSpan w:val="2"/>
            <w:tcBorders>
              <w:bottom w:val="single" w:sz="4" w:space="0" w:color="auto"/>
            </w:tcBorders>
            <w:shd w:val="clear" w:color="auto" w:fill="D9D9D9" w:themeFill="background1" w:themeFillShade="D9"/>
            <w:vAlign w:val="center"/>
          </w:tcPr>
          <w:p w:rsidR="00D320D6" w:rsidRPr="005C3D7B" w:rsidRDefault="00D320D6" w:rsidP="00A71719">
            <w:pPr>
              <w:pStyle w:val="Textoindependiente3"/>
              <w:numPr>
                <w:ilvl w:val="0"/>
                <w:numId w:val="3"/>
              </w:numPr>
              <w:rPr>
                <w:b/>
                <w:bCs/>
                <w:sz w:val="20"/>
              </w:rPr>
            </w:pPr>
            <w:r w:rsidRPr="005C3D7B">
              <w:rPr>
                <w:b/>
                <w:bCs/>
                <w:sz w:val="20"/>
              </w:rPr>
              <w:t xml:space="preserve">CONDICIONES COMPLEMENTARIAS </w:t>
            </w:r>
            <w:r w:rsidR="00CC40BF">
              <w:rPr>
                <w:b/>
                <w:bCs/>
                <w:sz w:val="20"/>
              </w:rPr>
              <w:t>(Especificar)</w:t>
            </w:r>
          </w:p>
        </w:tc>
      </w:tr>
      <w:tr w:rsidR="00D320D6" w:rsidRPr="009234E0" w:rsidTr="009449E1">
        <w:trPr>
          <w:cantSplit/>
          <w:trHeight w:val="458"/>
          <w:jc w:val="center"/>
        </w:trPr>
        <w:tc>
          <w:tcPr>
            <w:tcW w:w="10336" w:type="dxa"/>
            <w:gridSpan w:val="2"/>
            <w:tcBorders>
              <w:bottom w:val="single" w:sz="4" w:space="0" w:color="auto"/>
            </w:tcBorders>
            <w:vAlign w:val="center"/>
          </w:tcPr>
          <w:p w:rsidR="009E33CA" w:rsidRPr="005C3D7B" w:rsidRDefault="009E33CA" w:rsidP="006A7000">
            <w:pPr>
              <w:pStyle w:val="Default"/>
              <w:rPr>
                <w:rFonts w:ascii="Arial" w:hAnsi="Arial" w:cs="Arial"/>
                <w:b/>
                <w:bCs/>
                <w:sz w:val="20"/>
                <w:szCs w:val="20"/>
              </w:rPr>
            </w:pPr>
          </w:p>
          <w:p w:rsidR="006A7000" w:rsidRPr="005C3D7B" w:rsidRDefault="00FB5ACD" w:rsidP="0067507C">
            <w:pPr>
              <w:pStyle w:val="Default"/>
              <w:jc w:val="both"/>
              <w:rPr>
                <w:rFonts w:ascii="Arial" w:hAnsi="Arial" w:cs="Arial"/>
                <w:b/>
                <w:bCs/>
                <w:sz w:val="20"/>
                <w:szCs w:val="20"/>
              </w:rPr>
            </w:pPr>
            <w:r>
              <w:rPr>
                <w:rFonts w:ascii="Arial" w:hAnsi="Arial" w:cs="Arial"/>
                <w:b/>
                <w:bCs/>
                <w:sz w:val="20"/>
                <w:szCs w:val="20"/>
              </w:rPr>
              <w:t>Detalle del s</w:t>
            </w:r>
            <w:r w:rsidR="009234E0">
              <w:rPr>
                <w:rFonts w:ascii="Arial" w:hAnsi="Arial" w:cs="Arial"/>
                <w:b/>
                <w:bCs/>
                <w:sz w:val="20"/>
                <w:szCs w:val="20"/>
              </w:rPr>
              <w:t>ervicio para el mantenimiento y revisión de la UPS:</w:t>
            </w:r>
          </w:p>
          <w:p w:rsidR="006A7000" w:rsidRPr="005C3D7B" w:rsidRDefault="006A7000" w:rsidP="0067507C">
            <w:pPr>
              <w:pStyle w:val="Default"/>
              <w:jc w:val="both"/>
              <w:rPr>
                <w:rFonts w:ascii="Arial" w:hAnsi="Arial" w:cs="Arial"/>
                <w:b/>
                <w:bCs/>
                <w:sz w:val="20"/>
                <w:szCs w:val="20"/>
              </w:rPr>
            </w:pPr>
          </w:p>
          <w:p w:rsidR="006A7000" w:rsidRPr="005C3D7B" w:rsidRDefault="006A7000" w:rsidP="0067507C">
            <w:pPr>
              <w:numPr>
                <w:ilvl w:val="0"/>
                <w:numId w:val="23"/>
              </w:numPr>
              <w:autoSpaceDE w:val="0"/>
              <w:autoSpaceDN w:val="0"/>
              <w:jc w:val="both"/>
              <w:rPr>
                <w:rFonts w:ascii="Arial" w:hAnsi="Arial" w:cs="Arial"/>
                <w:color w:val="000000"/>
                <w:lang w:val="es-BO"/>
              </w:rPr>
            </w:pPr>
            <w:r w:rsidRPr="005C3D7B">
              <w:rPr>
                <w:rFonts w:ascii="Arial" w:hAnsi="Arial" w:cs="Arial"/>
                <w:color w:val="000000"/>
                <w:lang w:val="es-BO"/>
              </w:rPr>
              <w:t xml:space="preserve">Se debe colocar una carga de 70KW resistiva al equipo durante las pruebas. </w:t>
            </w:r>
          </w:p>
          <w:p w:rsidR="006A7000" w:rsidRPr="005C3D7B" w:rsidRDefault="006A7000" w:rsidP="0067507C">
            <w:pPr>
              <w:numPr>
                <w:ilvl w:val="0"/>
                <w:numId w:val="23"/>
              </w:numPr>
              <w:autoSpaceDE w:val="0"/>
              <w:autoSpaceDN w:val="0"/>
              <w:jc w:val="both"/>
              <w:rPr>
                <w:rFonts w:ascii="Arial" w:hAnsi="Arial" w:cs="Arial"/>
                <w:color w:val="000000"/>
                <w:lang w:val="es-BO"/>
              </w:rPr>
            </w:pPr>
            <w:r w:rsidRPr="005C3D7B">
              <w:rPr>
                <w:rFonts w:ascii="Arial" w:hAnsi="Arial" w:cs="Arial"/>
                <w:color w:val="000000"/>
                <w:lang w:val="es-BO"/>
              </w:rPr>
              <w:t xml:space="preserve">No se armarán los bancos de baterías. Las UPS son de doble conversión por lo que con la carga conectada se estará probando rectificador e inversor al mismo tiempo. </w:t>
            </w:r>
          </w:p>
          <w:p w:rsidR="00D320D6" w:rsidRPr="005C3D7B" w:rsidRDefault="0067507C" w:rsidP="0067507C">
            <w:pPr>
              <w:pStyle w:val="Textoindependiente3"/>
              <w:numPr>
                <w:ilvl w:val="0"/>
                <w:numId w:val="23"/>
              </w:numPr>
              <w:rPr>
                <w:sz w:val="20"/>
                <w:lang w:val="es-BO" w:eastAsia="es-BO"/>
              </w:rPr>
            </w:pPr>
            <w:r>
              <w:rPr>
                <w:color w:val="000000"/>
                <w:sz w:val="20"/>
                <w:lang w:val="es-BO"/>
              </w:rPr>
              <w:t xml:space="preserve">Elaborar un </w:t>
            </w:r>
            <w:r w:rsidR="006A7000" w:rsidRPr="005C3D7B">
              <w:rPr>
                <w:color w:val="000000"/>
                <w:sz w:val="20"/>
                <w:lang w:val="es-BO"/>
              </w:rPr>
              <w:t>Informe técnico del estado de la unidad</w:t>
            </w:r>
            <w:r w:rsidR="005D04B5">
              <w:rPr>
                <w:color w:val="000000"/>
                <w:sz w:val="20"/>
                <w:lang w:val="es-BO"/>
              </w:rPr>
              <w:t>.</w:t>
            </w:r>
          </w:p>
          <w:p w:rsidR="009E33CA" w:rsidRPr="005C3D7B" w:rsidRDefault="009E33CA" w:rsidP="009E33CA">
            <w:pPr>
              <w:pStyle w:val="Textoindependiente3"/>
              <w:jc w:val="left"/>
              <w:rPr>
                <w:sz w:val="20"/>
                <w:lang w:val="es-BO" w:eastAsia="es-BO"/>
              </w:rPr>
            </w:pPr>
          </w:p>
        </w:tc>
      </w:tr>
      <w:tr w:rsidR="00485A13" w:rsidRPr="005C3D7B" w:rsidTr="009449E1">
        <w:trPr>
          <w:cantSplit/>
          <w:trHeight w:val="633"/>
          <w:jc w:val="center"/>
        </w:trPr>
        <w:tc>
          <w:tcPr>
            <w:tcW w:w="10336" w:type="dxa"/>
            <w:gridSpan w:val="2"/>
            <w:shd w:val="clear" w:color="auto" w:fill="767171"/>
            <w:vAlign w:val="center"/>
          </w:tcPr>
          <w:p w:rsidR="00485A13" w:rsidRPr="005C3D7B" w:rsidRDefault="00485A13" w:rsidP="00732542">
            <w:pPr>
              <w:pStyle w:val="Textoindependiente3"/>
              <w:numPr>
                <w:ilvl w:val="0"/>
                <w:numId w:val="5"/>
              </w:numPr>
              <w:rPr>
                <w:b/>
                <w:bCs/>
                <w:color w:val="FFFFFF"/>
                <w:sz w:val="20"/>
              </w:rPr>
            </w:pPr>
            <w:r w:rsidRPr="005C3D7B">
              <w:rPr>
                <w:b/>
                <w:bCs/>
                <w:color w:val="FFFFFF"/>
                <w:sz w:val="20"/>
              </w:rPr>
              <w:t>PRESENTACI</w:t>
            </w:r>
            <w:r w:rsidR="00732542" w:rsidRPr="005C3D7B">
              <w:rPr>
                <w:b/>
                <w:bCs/>
                <w:color w:val="FFFFFF"/>
                <w:sz w:val="20"/>
              </w:rPr>
              <w:t>Ó</w:t>
            </w:r>
            <w:r w:rsidRPr="005C3D7B">
              <w:rPr>
                <w:b/>
                <w:bCs/>
                <w:color w:val="FFFFFF"/>
                <w:sz w:val="20"/>
              </w:rPr>
              <w:t>N DE PROPUESTA</w:t>
            </w:r>
          </w:p>
        </w:tc>
      </w:tr>
      <w:tr w:rsidR="00485A13" w:rsidRPr="009234E0" w:rsidTr="009449E1">
        <w:trPr>
          <w:cantSplit/>
          <w:trHeight w:val="3959"/>
          <w:jc w:val="center"/>
        </w:trPr>
        <w:tc>
          <w:tcPr>
            <w:tcW w:w="10336" w:type="dxa"/>
            <w:gridSpan w:val="2"/>
            <w:shd w:val="clear" w:color="auto" w:fill="auto"/>
            <w:vAlign w:val="center"/>
          </w:tcPr>
          <w:p w:rsidR="00485A13" w:rsidRPr="005C3D7B" w:rsidRDefault="00485A13" w:rsidP="00485A13">
            <w:pPr>
              <w:pStyle w:val="Textoindependiente3"/>
              <w:rPr>
                <w:bCs/>
                <w:sz w:val="20"/>
              </w:rPr>
            </w:pPr>
            <w:r w:rsidRPr="005C3D7B">
              <w:rPr>
                <w:bCs/>
                <w:sz w:val="20"/>
              </w:rPr>
              <w:t>La propuesta deberá ser entrega</w:t>
            </w:r>
            <w:r w:rsidR="00732542" w:rsidRPr="005C3D7B">
              <w:rPr>
                <w:bCs/>
                <w:sz w:val="20"/>
              </w:rPr>
              <w:t>da</w:t>
            </w:r>
            <w:r w:rsidRPr="005C3D7B">
              <w:rPr>
                <w:bCs/>
                <w:sz w:val="20"/>
              </w:rPr>
              <w:t xml:space="preserve"> en sobre cerrado, debidamente foliado de acuerdo al siguiente formato:</w:t>
            </w:r>
          </w:p>
          <w:p w:rsidR="00485A13" w:rsidRPr="005C3D7B" w:rsidRDefault="00485A13" w:rsidP="00485A13">
            <w:pPr>
              <w:pStyle w:val="Textoindependiente3"/>
              <w:rPr>
                <w:b/>
                <w:bCs/>
                <w:sz w:val="20"/>
              </w:rPr>
            </w:pPr>
            <w:r w:rsidRPr="005C3D7B">
              <w:rPr>
                <w:b/>
                <w:bCs/>
                <w:noProof/>
                <w:sz w:val="20"/>
                <w:lang w:val="es-BO" w:eastAsia="es-BO"/>
              </w:rPr>
              <mc:AlternateContent>
                <mc:Choice Requires="wps">
                  <w:drawing>
                    <wp:anchor distT="0" distB="0" distL="114300" distR="114300" simplePos="0" relativeHeight="251684864" behindDoc="0" locked="0" layoutInCell="1" allowOverlap="1" wp14:anchorId="61DD2CB3" wp14:editId="7D08AC16">
                      <wp:simplePos x="0" y="0"/>
                      <wp:positionH relativeFrom="column">
                        <wp:posOffset>1126490</wp:posOffset>
                      </wp:positionH>
                      <wp:positionV relativeFrom="paragraph">
                        <wp:posOffset>50165</wp:posOffset>
                      </wp:positionV>
                      <wp:extent cx="3954145" cy="967740"/>
                      <wp:effectExtent l="0" t="0" r="27305" b="22860"/>
                      <wp:wrapNone/>
                      <wp:docPr id="17" name="Rectángulo 17"/>
                      <wp:cNvGraphicFramePr/>
                      <a:graphic xmlns:a="http://schemas.openxmlformats.org/drawingml/2006/main">
                        <a:graphicData uri="http://schemas.microsoft.com/office/word/2010/wordprocessingShape">
                          <wps:wsp>
                            <wps:cNvSpPr/>
                            <wps:spPr>
                              <a:xfrm>
                                <a:off x="0" y="0"/>
                                <a:ext cx="3954483" cy="967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5F2F8" id="Rectángulo 17" o:spid="_x0000_s1026" style="position:absolute;margin-left:88.7pt;margin-top:3.95pt;width:311.35pt;height:7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" filled="f" strokecolor="#243f60 [1604]" strokeweight="2pt"/>
                  </w:pict>
                </mc:Fallback>
              </mc:AlternateContent>
            </w:r>
          </w:p>
          <w:p w:rsidR="005C3D7B" w:rsidRDefault="005C3D7B" w:rsidP="00485A13">
            <w:pPr>
              <w:pStyle w:val="Textoindependiente3"/>
              <w:jc w:val="center"/>
              <w:rPr>
                <w:b/>
                <w:bCs/>
                <w:sz w:val="20"/>
              </w:rPr>
            </w:pPr>
          </w:p>
          <w:p w:rsidR="00485A13" w:rsidRPr="005C3D7B" w:rsidRDefault="00485A13" w:rsidP="00485A13">
            <w:pPr>
              <w:pStyle w:val="Textoindependiente3"/>
              <w:jc w:val="center"/>
              <w:rPr>
                <w:b/>
                <w:bCs/>
                <w:sz w:val="20"/>
              </w:rPr>
            </w:pPr>
            <w:r w:rsidRPr="005C3D7B">
              <w:rPr>
                <w:b/>
                <w:bCs/>
                <w:sz w:val="20"/>
              </w:rPr>
              <w:t>OBJETO DE CONTRATACI</w:t>
            </w:r>
            <w:r w:rsidR="00732542" w:rsidRPr="005C3D7B">
              <w:rPr>
                <w:b/>
                <w:bCs/>
                <w:sz w:val="20"/>
              </w:rPr>
              <w:t>Ó</w:t>
            </w:r>
            <w:r w:rsidRPr="005C3D7B">
              <w:rPr>
                <w:b/>
                <w:bCs/>
                <w:sz w:val="20"/>
              </w:rPr>
              <w:t>N:</w:t>
            </w:r>
          </w:p>
          <w:p w:rsidR="00485A13" w:rsidRPr="005C3D7B" w:rsidRDefault="00485A13" w:rsidP="00485A13">
            <w:pPr>
              <w:pStyle w:val="Textoindependiente3"/>
              <w:jc w:val="center"/>
              <w:rPr>
                <w:b/>
                <w:bCs/>
                <w:sz w:val="20"/>
              </w:rPr>
            </w:pPr>
            <w:r w:rsidRPr="005C3D7B">
              <w:rPr>
                <w:b/>
                <w:bCs/>
                <w:sz w:val="20"/>
              </w:rPr>
              <w:t>NOMBRE DEL PROVEEDOR:</w:t>
            </w:r>
          </w:p>
          <w:p w:rsidR="00485A13" w:rsidRPr="005C3D7B" w:rsidRDefault="00A807F0" w:rsidP="00485A13">
            <w:pPr>
              <w:pStyle w:val="Textoindependiente3"/>
              <w:jc w:val="center"/>
              <w:rPr>
                <w:b/>
                <w:bCs/>
                <w:sz w:val="20"/>
              </w:rPr>
            </w:pPr>
            <w:r w:rsidRPr="005C3D7B">
              <w:rPr>
                <w:b/>
                <w:bCs/>
                <w:sz w:val="20"/>
              </w:rPr>
              <w:t>TEL</w:t>
            </w:r>
            <w:r w:rsidR="00343596" w:rsidRPr="005C3D7B">
              <w:rPr>
                <w:b/>
                <w:bCs/>
                <w:sz w:val="20"/>
              </w:rPr>
              <w:t>É</w:t>
            </w:r>
            <w:r w:rsidRPr="005C3D7B">
              <w:rPr>
                <w:b/>
                <w:bCs/>
                <w:sz w:val="20"/>
              </w:rPr>
              <w:t>FO</w:t>
            </w:r>
            <w:r w:rsidR="00485A13" w:rsidRPr="005C3D7B">
              <w:rPr>
                <w:b/>
                <w:bCs/>
                <w:sz w:val="20"/>
              </w:rPr>
              <w:t>NO:</w:t>
            </w:r>
          </w:p>
          <w:p w:rsidR="00485A13" w:rsidRPr="005C3D7B" w:rsidRDefault="00485A13" w:rsidP="00485A13">
            <w:pPr>
              <w:pStyle w:val="Textoindependiente3"/>
              <w:jc w:val="center"/>
              <w:rPr>
                <w:b/>
                <w:bCs/>
                <w:sz w:val="20"/>
              </w:rPr>
            </w:pPr>
            <w:r w:rsidRPr="005C3D7B">
              <w:rPr>
                <w:b/>
                <w:bCs/>
                <w:sz w:val="20"/>
              </w:rPr>
              <w:t>FECHA:</w:t>
            </w: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r w:rsidRPr="005C3D7B">
              <w:rPr>
                <w:b/>
                <w:bCs/>
                <w:sz w:val="20"/>
              </w:rPr>
              <w:t>El proponente deberá adjuntar a su propuesta la siguiente documentación:</w:t>
            </w:r>
          </w:p>
          <w:p w:rsidR="00485A13" w:rsidRPr="005C3D7B" w:rsidRDefault="00485A13" w:rsidP="00485A13">
            <w:pPr>
              <w:pStyle w:val="Textoindependiente3"/>
              <w:rPr>
                <w:b/>
                <w:bCs/>
                <w:sz w:val="20"/>
              </w:rPr>
            </w:pPr>
          </w:p>
          <w:p w:rsidR="00D55360" w:rsidRPr="005C3D7B" w:rsidRDefault="00D55360" w:rsidP="00D55360">
            <w:pPr>
              <w:pStyle w:val="Textoindependiente3"/>
              <w:numPr>
                <w:ilvl w:val="0"/>
                <w:numId w:val="16"/>
              </w:numPr>
              <w:rPr>
                <w:bCs/>
                <w:sz w:val="20"/>
              </w:rPr>
            </w:pPr>
            <w:r w:rsidRPr="005C3D7B">
              <w:rPr>
                <w:bCs/>
                <w:sz w:val="20"/>
              </w:rPr>
              <w:t>Fotocopia simple de Número de Identificación Tributaria (activa)</w:t>
            </w:r>
          </w:p>
          <w:p w:rsidR="00D55360" w:rsidRPr="005C3D7B" w:rsidRDefault="00D55360" w:rsidP="00D55360">
            <w:pPr>
              <w:pStyle w:val="Textoindependiente3"/>
              <w:numPr>
                <w:ilvl w:val="0"/>
                <w:numId w:val="16"/>
              </w:numPr>
              <w:rPr>
                <w:bCs/>
                <w:sz w:val="20"/>
              </w:rPr>
            </w:pPr>
            <w:r w:rsidRPr="005C3D7B">
              <w:rPr>
                <w:bCs/>
                <w:sz w:val="20"/>
              </w:rPr>
              <w:t>Fotocopia simple de Registro FUNDEMPRESA (válida y activa)</w:t>
            </w:r>
          </w:p>
          <w:p w:rsidR="00485A13" w:rsidRPr="005C3D7B" w:rsidRDefault="00485A13" w:rsidP="00485A13">
            <w:pPr>
              <w:pStyle w:val="Textoindependiente3"/>
              <w:rPr>
                <w:b/>
                <w:bCs/>
                <w:sz w:val="20"/>
              </w:rPr>
            </w:pPr>
          </w:p>
        </w:tc>
      </w:tr>
      <w:tr w:rsidR="00D320D6" w:rsidRPr="005C3D7B" w:rsidTr="009449E1">
        <w:trPr>
          <w:cantSplit/>
          <w:trHeight w:val="493"/>
          <w:jc w:val="center"/>
        </w:trPr>
        <w:tc>
          <w:tcPr>
            <w:tcW w:w="10336" w:type="dxa"/>
            <w:gridSpan w:val="2"/>
            <w:shd w:val="clear" w:color="auto" w:fill="767171"/>
            <w:vAlign w:val="center"/>
          </w:tcPr>
          <w:p w:rsidR="00D320D6" w:rsidRPr="005C3D7B" w:rsidRDefault="00D320D6" w:rsidP="00D320D6">
            <w:pPr>
              <w:pStyle w:val="Textoindependiente3"/>
              <w:numPr>
                <w:ilvl w:val="0"/>
                <w:numId w:val="5"/>
              </w:numPr>
              <w:rPr>
                <w:b/>
                <w:bCs/>
                <w:i/>
                <w:iCs/>
                <w:color w:val="FFFFFF"/>
                <w:sz w:val="20"/>
              </w:rPr>
            </w:pPr>
            <w:r w:rsidRPr="005C3D7B">
              <w:rPr>
                <w:b/>
                <w:bCs/>
                <w:color w:val="FFFFFF"/>
                <w:sz w:val="20"/>
              </w:rPr>
              <w:t>CONDICIONES ADMINISTRATIVAS</w:t>
            </w:r>
          </w:p>
        </w:tc>
      </w:tr>
      <w:tr w:rsidR="00E42895" w:rsidRPr="009234E0" w:rsidTr="009449E1">
        <w:trPr>
          <w:trHeight w:val="543"/>
          <w:jc w:val="center"/>
        </w:trPr>
        <w:tc>
          <w:tcPr>
            <w:tcW w:w="10336" w:type="dxa"/>
            <w:gridSpan w:val="2"/>
            <w:tcBorders>
              <w:bottom w:val="single" w:sz="4" w:space="0" w:color="auto"/>
            </w:tcBorders>
            <w:shd w:val="clear" w:color="auto" w:fill="D9D9D9" w:themeFill="background1" w:themeFillShade="D9"/>
            <w:vAlign w:val="center"/>
          </w:tcPr>
          <w:p w:rsidR="00E42895" w:rsidRPr="005C3D7B" w:rsidRDefault="00002BF8" w:rsidP="00CC40BF">
            <w:pPr>
              <w:pStyle w:val="Textoindependiente3"/>
              <w:numPr>
                <w:ilvl w:val="0"/>
                <w:numId w:val="19"/>
              </w:numPr>
              <w:rPr>
                <w:b/>
                <w:bCs/>
                <w:sz w:val="20"/>
              </w:rPr>
            </w:pPr>
            <w:r w:rsidRPr="005C3D7B">
              <w:rPr>
                <w:b/>
                <w:bCs/>
                <w:sz w:val="20"/>
              </w:rPr>
              <w:lastRenderedPageBreak/>
              <w:t xml:space="preserve">LUGAR </w:t>
            </w:r>
            <w:r w:rsidR="00D55360" w:rsidRPr="005C3D7B">
              <w:rPr>
                <w:b/>
                <w:bCs/>
                <w:sz w:val="20"/>
              </w:rPr>
              <w:t>DONDE SE EJECUTARÁ EL SERVICIO</w:t>
            </w:r>
            <w:r w:rsidR="009449E1">
              <w:rPr>
                <w:b/>
                <w:bCs/>
                <w:sz w:val="20"/>
              </w:rPr>
              <w:t xml:space="preserve">  (</w:t>
            </w:r>
            <w:r w:rsidR="00CC40BF">
              <w:rPr>
                <w:b/>
                <w:bCs/>
                <w:sz w:val="20"/>
              </w:rPr>
              <w:t>Manifestar Aceptación</w:t>
            </w:r>
            <w:r w:rsidR="009449E1">
              <w:rPr>
                <w:b/>
                <w:bCs/>
                <w:sz w:val="20"/>
              </w:rPr>
              <w:t>)</w:t>
            </w:r>
          </w:p>
        </w:tc>
      </w:tr>
      <w:tr w:rsidR="00002BF8" w:rsidRPr="005C3D7B" w:rsidTr="009449E1">
        <w:trPr>
          <w:trHeight w:val="724"/>
          <w:jc w:val="center"/>
        </w:trPr>
        <w:tc>
          <w:tcPr>
            <w:tcW w:w="10336" w:type="dxa"/>
            <w:gridSpan w:val="2"/>
            <w:tcBorders>
              <w:bottom w:val="single" w:sz="4" w:space="0" w:color="auto"/>
            </w:tcBorders>
            <w:vAlign w:val="center"/>
          </w:tcPr>
          <w:p w:rsidR="00002BF8" w:rsidRPr="005C3D7B" w:rsidRDefault="00732542" w:rsidP="00DF7156">
            <w:pPr>
              <w:pStyle w:val="Textoindependiente3"/>
              <w:rPr>
                <w:bCs/>
                <w:sz w:val="20"/>
              </w:rPr>
            </w:pPr>
            <w:r w:rsidRPr="005C3D7B">
              <w:rPr>
                <w:bCs/>
                <w:sz w:val="20"/>
              </w:rPr>
              <w:t>El proveedor prestará el servicio</w:t>
            </w:r>
            <w:r w:rsidR="00DF7156">
              <w:rPr>
                <w:bCs/>
                <w:sz w:val="20"/>
              </w:rPr>
              <w:t xml:space="preserve"> en las</w:t>
            </w:r>
            <w:r w:rsidRPr="005C3D7B">
              <w:rPr>
                <w:bCs/>
                <w:sz w:val="20"/>
              </w:rPr>
              <w:t xml:space="preserve"> </w:t>
            </w:r>
            <w:r w:rsidR="00DF7156" w:rsidRPr="00DF7156">
              <w:rPr>
                <w:bCs/>
                <w:sz w:val="20"/>
                <w:lang w:val="es-BO"/>
              </w:rPr>
              <w:t>oficinas</w:t>
            </w:r>
            <w:r w:rsidR="00DF7156" w:rsidRPr="009234E0">
              <w:rPr>
                <w:bCs/>
                <w:sz w:val="20"/>
                <w:lang w:val="es-BO"/>
              </w:rPr>
              <w:t xml:space="preserve"> del </w:t>
            </w:r>
            <w:r w:rsidRPr="005C3D7B">
              <w:rPr>
                <w:bCs/>
                <w:sz w:val="20"/>
              </w:rPr>
              <w:t xml:space="preserve">Tribunal Supremo Electoral </w:t>
            </w:r>
            <w:r w:rsidR="00DF7156">
              <w:rPr>
                <w:bCs/>
                <w:sz w:val="20"/>
              </w:rPr>
              <w:t xml:space="preserve">ubicado en la </w:t>
            </w:r>
            <w:r w:rsidRPr="005C3D7B">
              <w:rPr>
                <w:bCs/>
                <w:sz w:val="20"/>
              </w:rPr>
              <w:t xml:space="preserve">Av. Arce No. 2985, </w:t>
            </w:r>
            <w:r w:rsidR="00DF7156">
              <w:rPr>
                <w:bCs/>
                <w:sz w:val="20"/>
              </w:rPr>
              <w:t>Z</w:t>
            </w:r>
            <w:r w:rsidRPr="005C3D7B">
              <w:rPr>
                <w:bCs/>
                <w:sz w:val="20"/>
              </w:rPr>
              <w:t xml:space="preserve">ona San Jorge y en oficinas del Tribunal Supremo Electoral </w:t>
            </w:r>
            <w:r w:rsidR="00DF7156">
              <w:rPr>
                <w:bCs/>
                <w:sz w:val="20"/>
              </w:rPr>
              <w:t xml:space="preserve">ubicado en la </w:t>
            </w:r>
            <w:r w:rsidRPr="005C3D7B">
              <w:rPr>
                <w:bCs/>
                <w:sz w:val="20"/>
              </w:rPr>
              <w:t xml:space="preserve">Av. Sánchez Lima No. 2482, </w:t>
            </w:r>
            <w:r w:rsidR="00DF7156">
              <w:rPr>
                <w:bCs/>
                <w:sz w:val="20"/>
              </w:rPr>
              <w:t>Z</w:t>
            </w:r>
            <w:r w:rsidRPr="005C3D7B">
              <w:rPr>
                <w:bCs/>
                <w:sz w:val="20"/>
              </w:rPr>
              <w:t>ona Sopocachi.</w:t>
            </w:r>
          </w:p>
        </w:tc>
      </w:tr>
      <w:tr w:rsidR="00D320D6" w:rsidRPr="005C3D7B" w:rsidTr="009449E1">
        <w:trPr>
          <w:cantSplit/>
          <w:trHeight w:val="397"/>
          <w:jc w:val="center"/>
        </w:trPr>
        <w:tc>
          <w:tcPr>
            <w:tcW w:w="10336" w:type="dxa"/>
            <w:gridSpan w:val="2"/>
            <w:shd w:val="clear" w:color="auto" w:fill="D9D9D9" w:themeFill="background1" w:themeFillShade="D9"/>
            <w:vAlign w:val="center"/>
          </w:tcPr>
          <w:p w:rsidR="00D320D6" w:rsidRPr="005C3D7B" w:rsidRDefault="00002BF8" w:rsidP="00002BF8">
            <w:pPr>
              <w:pStyle w:val="Textoindependiente3"/>
              <w:numPr>
                <w:ilvl w:val="0"/>
                <w:numId w:val="19"/>
              </w:numPr>
              <w:rPr>
                <w:b/>
                <w:bCs/>
                <w:sz w:val="20"/>
              </w:rPr>
            </w:pPr>
            <w:r w:rsidRPr="005C3D7B">
              <w:rPr>
                <w:b/>
                <w:bCs/>
                <w:sz w:val="20"/>
              </w:rPr>
              <w:t>PLAZO DEL SERVICIO</w:t>
            </w:r>
            <w:r w:rsidR="009449E1">
              <w:rPr>
                <w:b/>
                <w:bCs/>
                <w:sz w:val="20"/>
              </w:rPr>
              <w:t xml:space="preserve">  </w:t>
            </w:r>
            <w:r w:rsidR="00CC40BF">
              <w:rPr>
                <w:b/>
                <w:bCs/>
                <w:sz w:val="20"/>
              </w:rPr>
              <w:t>(Manifestar Aceptación)</w:t>
            </w:r>
          </w:p>
        </w:tc>
      </w:tr>
      <w:tr w:rsidR="00D320D6" w:rsidRPr="009234E0" w:rsidTr="009449E1">
        <w:trPr>
          <w:trHeight w:val="397"/>
          <w:jc w:val="center"/>
        </w:trPr>
        <w:tc>
          <w:tcPr>
            <w:tcW w:w="10336" w:type="dxa"/>
            <w:gridSpan w:val="2"/>
            <w:shd w:val="clear" w:color="auto" w:fill="auto"/>
            <w:vAlign w:val="center"/>
          </w:tcPr>
          <w:p w:rsidR="00AA6F13" w:rsidRPr="005C3D7B" w:rsidRDefault="00AA6F13" w:rsidP="006A7000">
            <w:pPr>
              <w:jc w:val="both"/>
              <w:rPr>
                <w:rFonts w:ascii="Arial" w:hAnsi="Arial" w:cs="Arial"/>
                <w:bCs/>
                <w:iCs/>
                <w:lang w:val="es-BO"/>
              </w:rPr>
            </w:pPr>
          </w:p>
          <w:p w:rsidR="006A7000" w:rsidRDefault="00AA5D9E" w:rsidP="006A7000">
            <w:pPr>
              <w:jc w:val="both"/>
              <w:rPr>
                <w:rFonts w:ascii="Arial" w:hAnsi="Arial" w:cs="Arial"/>
                <w:bCs/>
                <w:iCs/>
                <w:lang w:val="es-BO"/>
              </w:rPr>
            </w:pPr>
            <w:r w:rsidRPr="00AA5D9E">
              <w:rPr>
                <w:rFonts w:ascii="Arial" w:hAnsi="Arial" w:cs="Arial"/>
                <w:bCs/>
                <w:iCs/>
                <w:lang w:val="es-BO"/>
              </w:rPr>
              <w:t xml:space="preserve">El plazo será de </w:t>
            </w:r>
            <w:r w:rsidR="00644445">
              <w:rPr>
                <w:rFonts w:ascii="Arial" w:hAnsi="Arial" w:cs="Arial"/>
                <w:bCs/>
                <w:iCs/>
                <w:lang w:val="es-BO"/>
              </w:rPr>
              <w:t>(</w:t>
            </w:r>
            <w:r w:rsidRPr="00AA5D9E">
              <w:rPr>
                <w:rFonts w:ascii="Arial" w:hAnsi="Arial" w:cs="Arial"/>
                <w:bCs/>
                <w:iCs/>
                <w:lang w:val="es-BO"/>
              </w:rPr>
              <w:t>45</w:t>
            </w:r>
            <w:r w:rsidR="00644445">
              <w:rPr>
                <w:rFonts w:ascii="Arial" w:hAnsi="Arial" w:cs="Arial"/>
                <w:bCs/>
                <w:iCs/>
                <w:lang w:val="es-BO"/>
              </w:rPr>
              <w:t>)</w:t>
            </w:r>
            <w:r w:rsidRPr="00AA5D9E">
              <w:rPr>
                <w:rFonts w:ascii="Arial" w:hAnsi="Arial" w:cs="Arial"/>
                <w:bCs/>
                <w:iCs/>
                <w:lang w:val="es-BO"/>
              </w:rPr>
              <w:t xml:space="preserve"> días calendario a partir del día siguiente hábil de la suscripción de la Orden de Servicio</w:t>
            </w:r>
            <w:r w:rsidR="00820EAA" w:rsidRPr="005C3D7B">
              <w:rPr>
                <w:rFonts w:ascii="Arial" w:hAnsi="Arial" w:cs="Arial"/>
                <w:bCs/>
                <w:iCs/>
                <w:lang w:val="es-BO"/>
              </w:rPr>
              <w:t>, los mismos deben realizarse bajo el siguiente cronograma</w:t>
            </w:r>
            <w:r w:rsidR="006A7000" w:rsidRPr="005C3D7B">
              <w:rPr>
                <w:rFonts w:ascii="Arial" w:hAnsi="Arial" w:cs="Arial"/>
                <w:bCs/>
                <w:iCs/>
                <w:lang w:val="es-BO"/>
              </w:rPr>
              <w:t>:</w:t>
            </w:r>
          </w:p>
          <w:p w:rsidR="00DF7156" w:rsidRDefault="00DF7156" w:rsidP="006A7000">
            <w:pPr>
              <w:jc w:val="both"/>
              <w:rPr>
                <w:rFonts w:ascii="Arial" w:hAnsi="Arial" w:cs="Arial"/>
                <w:bCs/>
                <w:iCs/>
                <w:lang w:val="es-BO"/>
              </w:rPr>
            </w:pPr>
          </w:p>
          <w:p w:rsidR="00DC7B60" w:rsidRPr="005C3D7B" w:rsidRDefault="00DC7B60" w:rsidP="006A7000">
            <w:pPr>
              <w:jc w:val="both"/>
              <w:rPr>
                <w:rFonts w:ascii="Arial" w:hAnsi="Arial" w:cs="Arial"/>
                <w:bCs/>
                <w:iCs/>
                <w:lang w:val="es-BO"/>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7"/>
              <w:gridCol w:w="2020"/>
              <w:gridCol w:w="2576"/>
              <w:gridCol w:w="2198"/>
            </w:tblGrid>
            <w:tr w:rsidR="006A7000" w:rsidRPr="009234E0" w:rsidTr="00AA5D9E">
              <w:trPr>
                <w:cantSplit/>
                <w:trHeight w:val="1918"/>
                <w:jc w:val="center"/>
              </w:trPr>
              <w:tc>
                <w:tcPr>
                  <w:tcW w:w="1226" w:type="pct"/>
                  <w:tcBorders>
                    <w:bottom w:val="single" w:sz="4" w:space="0" w:color="auto"/>
                  </w:tcBorders>
                  <w:shd w:val="clear" w:color="auto" w:fill="D9D9D9"/>
                  <w:vAlign w:val="center"/>
                </w:tcPr>
                <w:p w:rsidR="006A7000" w:rsidRPr="005C3D7B" w:rsidRDefault="006A7000" w:rsidP="006A7000">
                  <w:pPr>
                    <w:ind w:left="184"/>
                    <w:jc w:val="center"/>
                    <w:rPr>
                      <w:rFonts w:ascii="Arial" w:hAnsi="Arial" w:cs="Arial"/>
                      <w:b/>
                      <w:bCs/>
                      <w:color w:val="000000"/>
                    </w:rPr>
                  </w:pPr>
                  <w:r w:rsidRPr="005C3D7B">
                    <w:rPr>
                      <w:rFonts w:ascii="Arial" w:hAnsi="Arial" w:cs="Arial"/>
                      <w:b/>
                      <w:bCs/>
                      <w:color w:val="000000"/>
                    </w:rPr>
                    <w:t>SERVICIO</w:t>
                  </w:r>
                </w:p>
              </w:tc>
              <w:tc>
                <w:tcPr>
                  <w:tcW w:w="1122" w:type="pct"/>
                  <w:tcBorders>
                    <w:bottom w:val="single" w:sz="4" w:space="0" w:color="auto"/>
                  </w:tcBorders>
                  <w:shd w:val="clear" w:color="auto" w:fill="D9D9D9"/>
                  <w:vAlign w:val="center"/>
                </w:tcPr>
                <w:p w:rsidR="006A7000" w:rsidRPr="005C3D7B" w:rsidRDefault="006A7000" w:rsidP="00AA5D9E">
                  <w:pPr>
                    <w:jc w:val="center"/>
                    <w:rPr>
                      <w:rFonts w:ascii="Arial" w:hAnsi="Arial" w:cs="Arial"/>
                      <w:b/>
                      <w:bCs/>
                      <w:lang w:val="es-BO"/>
                    </w:rPr>
                  </w:pPr>
                  <w:r w:rsidRPr="005C3D7B">
                    <w:rPr>
                      <w:rFonts w:ascii="Arial" w:hAnsi="Arial" w:cs="Arial"/>
                      <w:b/>
                      <w:bCs/>
                      <w:lang w:val="es-BO"/>
                    </w:rPr>
                    <w:t>PLAZO DE EJECUCIÓN DEL SERVICIO (</w:t>
                  </w:r>
                  <w:r w:rsidR="00AA5D9E">
                    <w:rPr>
                      <w:rFonts w:ascii="Arial" w:hAnsi="Arial" w:cs="Arial"/>
                      <w:b/>
                      <w:bCs/>
                      <w:lang w:val="es-BO"/>
                    </w:rPr>
                    <w:t>C</w:t>
                  </w:r>
                  <w:r w:rsidR="00AA5D9E" w:rsidRPr="005C3D7B">
                    <w:rPr>
                      <w:rFonts w:ascii="Arial" w:hAnsi="Arial" w:cs="Arial"/>
                      <w:b/>
                      <w:bCs/>
                      <w:lang w:val="es-BO"/>
                    </w:rPr>
                    <w:t>omputados a partir del siguiente día hábil de la firma</w:t>
                  </w:r>
                  <w:r w:rsidR="00AA5D9E">
                    <w:rPr>
                      <w:rFonts w:ascii="Arial" w:hAnsi="Arial" w:cs="Arial"/>
                      <w:b/>
                      <w:bCs/>
                      <w:lang w:val="es-BO"/>
                    </w:rPr>
                    <w:t xml:space="preserve"> de la</w:t>
                  </w:r>
                  <w:r w:rsidR="00AA5D9E" w:rsidRPr="005C3D7B">
                    <w:rPr>
                      <w:rFonts w:ascii="Arial" w:hAnsi="Arial" w:cs="Arial"/>
                      <w:b/>
                      <w:bCs/>
                      <w:lang w:val="es-BO"/>
                    </w:rPr>
                    <w:t xml:space="preserve"> </w:t>
                  </w:r>
                  <w:r w:rsidR="00AA5D9E">
                    <w:rPr>
                      <w:rFonts w:ascii="Arial" w:hAnsi="Arial" w:cs="Arial"/>
                      <w:b/>
                      <w:bCs/>
                      <w:lang w:val="es-BO"/>
                    </w:rPr>
                    <w:t xml:space="preserve">Orden de Servicio </w:t>
                  </w:r>
                  <w:r w:rsidRPr="005C3D7B">
                    <w:rPr>
                      <w:rFonts w:ascii="Arial" w:hAnsi="Arial" w:cs="Arial"/>
                      <w:b/>
                      <w:bCs/>
                      <w:lang w:val="es-BO"/>
                    </w:rPr>
                    <w:t>)</w:t>
                  </w:r>
                </w:p>
              </w:tc>
              <w:tc>
                <w:tcPr>
                  <w:tcW w:w="1431" w:type="pct"/>
                  <w:tcBorders>
                    <w:bottom w:val="single" w:sz="4" w:space="0" w:color="auto"/>
                  </w:tcBorders>
                  <w:shd w:val="clear" w:color="auto" w:fill="D9D9D9"/>
                  <w:vAlign w:val="center"/>
                </w:tcPr>
                <w:p w:rsidR="006A7000" w:rsidRPr="005C3D7B" w:rsidRDefault="006A7000" w:rsidP="006A7000">
                  <w:pPr>
                    <w:jc w:val="center"/>
                    <w:rPr>
                      <w:rFonts w:ascii="Arial" w:hAnsi="Arial" w:cs="Arial"/>
                      <w:b/>
                      <w:bCs/>
                    </w:rPr>
                  </w:pPr>
                  <w:r w:rsidRPr="005C3D7B">
                    <w:rPr>
                      <w:rFonts w:ascii="Arial" w:hAnsi="Arial" w:cs="Arial"/>
                      <w:b/>
                      <w:bCs/>
                    </w:rPr>
                    <w:t>FUENTE DE VERIFICACIÓN</w:t>
                  </w:r>
                </w:p>
              </w:tc>
              <w:tc>
                <w:tcPr>
                  <w:tcW w:w="1221" w:type="pct"/>
                  <w:tcBorders>
                    <w:bottom w:val="single" w:sz="4" w:space="0" w:color="auto"/>
                  </w:tcBorders>
                  <w:shd w:val="clear" w:color="auto" w:fill="D9D9D9"/>
                  <w:vAlign w:val="center"/>
                </w:tcPr>
                <w:p w:rsidR="006A7000" w:rsidRPr="005C3D7B" w:rsidRDefault="006A7000" w:rsidP="006A7000">
                  <w:pPr>
                    <w:ind w:right="303"/>
                    <w:jc w:val="center"/>
                    <w:rPr>
                      <w:rFonts w:ascii="Arial" w:hAnsi="Arial" w:cs="Arial"/>
                      <w:b/>
                      <w:bCs/>
                      <w:lang w:val="es-BO"/>
                    </w:rPr>
                  </w:pPr>
                  <w:r w:rsidRPr="005C3D7B">
                    <w:rPr>
                      <w:rFonts w:ascii="Arial" w:hAnsi="Arial" w:cs="Arial"/>
                      <w:b/>
                      <w:bCs/>
                      <w:lang w:val="es-BO"/>
                    </w:rPr>
                    <w:t>LUGAR DE PRESTACIÓN DEL SERVICIO</w:t>
                  </w:r>
                </w:p>
              </w:tc>
            </w:tr>
            <w:tr w:rsidR="00AA5D9E" w:rsidRPr="005C3D7B" w:rsidTr="00AA5D9E">
              <w:trPr>
                <w:cantSplit/>
                <w:trHeight w:val="1265"/>
                <w:jc w:val="center"/>
              </w:trPr>
              <w:tc>
                <w:tcPr>
                  <w:tcW w:w="1226" w:type="pct"/>
                  <w:vMerge w:val="restart"/>
                  <w:vAlign w:val="center"/>
                </w:tcPr>
                <w:p w:rsidR="00AA5D9E" w:rsidRPr="00AA5D9E" w:rsidRDefault="00AA5D9E" w:rsidP="006A7000">
                  <w:pPr>
                    <w:ind w:left="326"/>
                    <w:jc w:val="center"/>
                    <w:rPr>
                      <w:rFonts w:ascii="Arial" w:hAnsi="Arial" w:cs="Arial"/>
                      <w:color w:val="000000"/>
                    </w:rPr>
                  </w:pPr>
                  <w:r w:rsidRPr="00AA5D9E">
                    <w:rPr>
                      <w:rFonts w:ascii="Arial" w:hAnsi="Arial" w:cs="Arial"/>
                      <w:color w:val="000000"/>
                    </w:rPr>
                    <w:t>ÍTEM 1</w:t>
                  </w:r>
                </w:p>
                <w:p w:rsidR="00AA5D9E" w:rsidRPr="005C3D7B" w:rsidRDefault="00AA5D9E" w:rsidP="006A7000">
                  <w:pPr>
                    <w:ind w:left="326"/>
                    <w:jc w:val="center"/>
                    <w:rPr>
                      <w:rFonts w:ascii="Arial" w:hAnsi="Arial" w:cs="Arial"/>
                      <w:b/>
                      <w:color w:val="000000"/>
                    </w:rPr>
                  </w:pPr>
                </w:p>
              </w:tc>
              <w:tc>
                <w:tcPr>
                  <w:tcW w:w="1122" w:type="pct"/>
                  <w:tcBorders>
                    <w:bottom w:val="single" w:sz="4" w:space="0" w:color="auto"/>
                  </w:tcBorders>
                  <w:vAlign w:val="center"/>
                </w:tcPr>
                <w:p w:rsidR="00AA5D9E" w:rsidRPr="005C3D7B" w:rsidRDefault="00AA5D9E" w:rsidP="006A7000">
                  <w:pPr>
                    <w:jc w:val="center"/>
                    <w:rPr>
                      <w:rFonts w:ascii="Arial" w:hAnsi="Arial" w:cs="Arial"/>
                      <w:lang w:val="es-BO"/>
                    </w:rPr>
                  </w:pPr>
                  <w:r w:rsidRPr="005C3D7B">
                    <w:rPr>
                      <w:rFonts w:ascii="Arial" w:hAnsi="Arial" w:cs="Arial"/>
                      <w:lang w:val="es-BO"/>
                    </w:rPr>
                    <w:t>Hasta 5 días calendario</w:t>
                  </w:r>
                </w:p>
              </w:tc>
              <w:tc>
                <w:tcPr>
                  <w:tcW w:w="1431" w:type="pct"/>
                  <w:vAlign w:val="center"/>
                </w:tcPr>
                <w:p w:rsidR="00AA5D9E" w:rsidRPr="005C3D7B" w:rsidRDefault="00AA5D9E" w:rsidP="0063425E">
                  <w:pPr>
                    <w:jc w:val="both"/>
                    <w:rPr>
                      <w:rFonts w:ascii="Arial" w:hAnsi="Arial" w:cs="Arial"/>
                      <w:lang w:val="es-BO"/>
                    </w:rPr>
                  </w:pPr>
                  <w:r w:rsidRPr="005C3D7B">
                    <w:rPr>
                      <w:rFonts w:ascii="Arial" w:hAnsi="Arial" w:cs="Arial"/>
                      <w:lang w:val="es-BO"/>
                    </w:rPr>
                    <w:t xml:space="preserve">Primer Informe Técnico de la empresa a la finalización del </w:t>
                  </w:r>
                  <w:r>
                    <w:rPr>
                      <w:rFonts w:ascii="Arial" w:hAnsi="Arial" w:cs="Arial"/>
                      <w:lang w:val="es-BO"/>
                    </w:rPr>
                    <w:t xml:space="preserve">servicio de </w:t>
                  </w:r>
                  <w:r w:rsidR="005E405B">
                    <w:rPr>
                      <w:rFonts w:ascii="Arial" w:hAnsi="Arial" w:cs="Arial"/>
                      <w:lang w:val="es-BO" w:eastAsia="es-BO"/>
                    </w:rPr>
                    <w:t>m</w:t>
                  </w:r>
                  <w:r w:rsidR="00FB5ACD" w:rsidRPr="005C3D7B">
                    <w:rPr>
                      <w:rFonts w:ascii="Arial" w:hAnsi="Arial" w:cs="Arial"/>
                      <w:lang w:val="es-BO" w:eastAsia="es-BO"/>
                    </w:rPr>
                    <w:t xml:space="preserve">antenimiento y revisión de los UPS de 120 KVA que incluye reconectar  y poner en funcionamiento los UPS para poder efectuar las pruebas de carga necesarios para verificar el correcto funcionamiento de las diferentes etapas electrónicas de los UPS. </w:t>
                  </w:r>
                </w:p>
              </w:tc>
              <w:tc>
                <w:tcPr>
                  <w:tcW w:w="1221" w:type="pct"/>
                  <w:vMerge w:val="restart"/>
                  <w:vAlign w:val="center"/>
                </w:tcPr>
                <w:p w:rsidR="00AA5D9E" w:rsidRPr="00AA5D9E" w:rsidRDefault="00AA5D9E" w:rsidP="006A7000">
                  <w:pPr>
                    <w:ind w:right="116"/>
                    <w:jc w:val="both"/>
                    <w:rPr>
                      <w:rFonts w:ascii="Arial" w:hAnsi="Arial" w:cs="Arial"/>
                      <w:bCs/>
                      <w:iCs/>
                      <w:lang w:val="es-BO"/>
                    </w:rPr>
                  </w:pPr>
                  <w:r w:rsidRPr="00AA5D9E">
                    <w:rPr>
                      <w:rFonts w:ascii="Arial" w:hAnsi="Arial" w:cs="Arial"/>
                      <w:bCs/>
                      <w:iCs/>
                      <w:lang w:val="es-BO"/>
                    </w:rPr>
                    <w:t>En las oficinas del Tribunal Supremo Electoral ubicado en la Av. Arce No. 2985, Zona San Jorge y en oficinas del Tribunal Supremo Electoral ubicado en la Av. Sánchez Lima No. 2482, Zona Sopocachi.</w:t>
                  </w:r>
                </w:p>
                <w:p w:rsidR="00AA5D9E" w:rsidRPr="005C3D7B" w:rsidRDefault="00AA5D9E" w:rsidP="006A7000">
                  <w:pPr>
                    <w:ind w:right="116"/>
                    <w:jc w:val="both"/>
                    <w:rPr>
                      <w:rFonts w:ascii="Arial" w:hAnsi="Arial" w:cs="Arial"/>
                      <w:lang w:val="es-BO"/>
                    </w:rPr>
                  </w:pPr>
                </w:p>
              </w:tc>
            </w:tr>
            <w:tr w:rsidR="00AA5D9E" w:rsidRPr="009234E0" w:rsidTr="00AA5D9E">
              <w:trPr>
                <w:cantSplit/>
                <w:trHeight w:val="2489"/>
                <w:jc w:val="center"/>
              </w:trPr>
              <w:tc>
                <w:tcPr>
                  <w:tcW w:w="1226" w:type="pct"/>
                  <w:vMerge/>
                  <w:vAlign w:val="center"/>
                </w:tcPr>
                <w:p w:rsidR="00AA5D9E" w:rsidRPr="005C3D7B" w:rsidRDefault="00AA5D9E" w:rsidP="006A7000">
                  <w:pPr>
                    <w:ind w:left="326"/>
                    <w:jc w:val="center"/>
                    <w:rPr>
                      <w:rFonts w:ascii="Arial" w:hAnsi="Arial" w:cs="Arial"/>
                      <w:b/>
                    </w:rPr>
                  </w:pPr>
                </w:p>
              </w:tc>
              <w:tc>
                <w:tcPr>
                  <w:tcW w:w="1122" w:type="pct"/>
                  <w:vAlign w:val="center"/>
                </w:tcPr>
                <w:p w:rsidR="00AA5D9E" w:rsidRPr="005C3D7B" w:rsidRDefault="00AA5D9E" w:rsidP="006A7000">
                  <w:pPr>
                    <w:jc w:val="center"/>
                    <w:rPr>
                      <w:rFonts w:ascii="Arial" w:hAnsi="Arial" w:cs="Arial"/>
                      <w:lang w:val="es-BO"/>
                    </w:rPr>
                  </w:pPr>
                  <w:r w:rsidRPr="005C3D7B">
                    <w:rPr>
                      <w:rFonts w:ascii="Arial" w:hAnsi="Arial" w:cs="Arial"/>
                      <w:lang w:val="es-BO"/>
                    </w:rPr>
                    <w:t>Hasta 45 días calendario</w:t>
                  </w:r>
                </w:p>
              </w:tc>
              <w:tc>
                <w:tcPr>
                  <w:tcW w:w="1431" w:type="pct"/>
                  <w:vAlign w:val="center"/>
                </w:tcPr>
                <w:p w:rsidR="00AA5D9E" w:rsidRPr="005C3D7B" w:rsidRDefault="00AA5D9E" w:rsidP="006A7000">
                  <w:pPr>
                    <w:jc w:val="both"/>
                    <w:rPr>
                      <w:rFonts w:ascii="Arial" w:hAnsi="Arial" w:cs="Arial"/>
                      <w:lang w:val="es-BO"/>
                    </w:rPr>
                  </w:pPr>
                  <w:r w:rsidRPr="005C3D7B">
                    <w:rPr>
                      <w:rFonts w:ascii="Arial" w:hAnsi="Arial" w:cs="Arial"/>
                      <w:lang w:val="es-BO"/>
                    </w:rPr>
                    <w:t>Segundo Informe Técnico de la empresa a la conclusión total del mantenimiento,</w:t>
                  </w:r>
                  <w:r w:rsidRPr="005C3D7B">
                    <w:rPr>
                      <w:rFonts w:ascii="Arial" w:hAnsi="Arial" w:cs="Arial"/>
                      <w:iCs/>
                      <w:lang w:val="es-BO"/>
                    </w:rPr>
                    <w:t xml:space="preserve"> con los resultados y recomendaciones emergentes del servicio.</w:t>
                  </w:r>
                </w:p>
              </w:tc>
              <w:tc>
                <w:tcPr>
                  <w:tcW w:w="1221" w:type="pct"/>
                  <w:vMerge/>
                </w:tcPr>
                <w:p w:rsidR="00AA5D9E" w:rsidRPr="005C3D7B" w:rsidRDefault="00AA5D9E" w:rsidP="006A7000">
                  <w:pPr>
                    <w:jc w:val="center"/>
                    <w:rPr>
                      <w:rFonts w:ascii="Arial" w:hAnsi="Arial" w:cs="Arial"/>
                      <w:lang w:val="es-BO"/>
                    </w:rPr>
                  </w:pPr>
                </w:p>
              </w:tc>
            </w:tr>
          </w:tbl>
          <w:p w:rsidR="00346BB6" w:rsidRPr="005C3D7B" w:rsidRDefault="00346BB6" w:rsidP="00730A80">
            <w:pPr>
              <w:pStyle w:val="Textoindependiente3"/>
              <w:rPr>
                <w:bCs/>
                <w:sz w:val="20"/>
                <w:highlight w:val="green"/>
                <w:lang w:val="es-BO"/>
              </w:rPr>
            </w:pPr>
          </w:p>
          <w:p w:rsidR="00DC7B60" w:rsidRPr="005C3D7B" w:rsidRDefault="00DC7B60" w:rsidP="00730A80">
            <w:pPr>
              <w:pStyle w:val="Textoindependiente3"/>
              <w:rPr>
                <w:bCs/>
                <w:sz w:val="20"/>
                <w:highlight w:val="green"/>
                <w:lang w:val="es-BO"/>
              </w:rPr>
            </w:pPr>
          </w:p>
        </w:tc>
      </w:tr>
      <w:tr w:rsidR="005C5AA1" w:rsidRPr="005C3D7B" w:rsidTr="009449E1">
        <w:trPr>
          <w:cantSplit/>
          <w:trHeight w:val="397"/>
          <w:jc w:val="center"/>
        </w:trPr>
        <w:tc>
          <w:tcPr>
            <w:tcW w:w="10336" w:type="dxa"/>
            <w:gridSpan w:val="2"/>
            <w:shd w:val="clear" w:color="auto" w:fill="D9D9D9" w:themeFill="background1" w:themeFillShade="D9"/>
            <w:vAlign w:val="center"/>
          </w:tcPr>
          <w:p w:rsidR="005C5AA1" w:rsidRPr="005C3D7B" w:rsidRDefault="005C5AA1" w:rsidP="005C5AA1">
            <w:pPr>
              <w:pStyle w:val="Textoindependiente3"/>
              <w:numPr>
                <w:ilvl w:val="0"/>
                <w:numId w:val="19"/>
              </w:numPr>
              <w:rPr>
                <w:b/>
                <w:bCs/>
                <w:sz w:val="20"/>
              </w:rPr>
            </w:pPr>
            <w:r w:rsidRPr="005C3D7B">
              <w:rPr>
                <w:b/>
                <w:bCs/>
                <w:sz w:val="20"/>
                <w:lang w:val="es-ES_tradnl"/>
              </w:rPr>
              <w:t>INCUMPLIMIENTO</w:t>
            </w:r>
          </w:p>
        </w:tc>
      </w:tr>
      <w:tr w:rsidR="005C5AA1" w:rsidRPr="009234E0" w:rsidTr="009449E1">
        <w:trPr>
          <w:cantSplit/>
          <w:trHeight w:val="797"/>
          <w:jc w:val="center"/>
        </w:trPr>
        <w:tc>
          <w:tcPr>
            <w:tcW w:w="10336" w:type="dxa"/>
            <w:gridSpan w:val="2"/>
            <w:shd w:val="clear" w:color="auto" w:fill="auto"/>
            <w:vAlign w:val="center"/>
          </w:tcPr>
          <w:p w:rsidR="005C5AA1" w:rsidRPr="005C3D7B" w:rsidRDefault="005C5AA1" w:rsidP="005C5AA1">
            <w:pPr>
              <w:pStyle w:val="Textoindependiente3"/>
              <w:rPr>
                <w:bCs/>
                <w:iCs/>
                <w:sz w:val="20"/>
              </w:rPr>
            </w:pPr>
            <w:r w:rsidRPr="005C3D7B">
              <w:rPr>
                <w:bCs/>
                <w:iCs/>
                <w:sz w:val="20"/>
              </w:rPr>
              <w:t xml:space="preserve">En caso de incumplimiento en el plazo de entrega se dejará sin efecto la Orden de </w:t>
            </w:r>
            <w:r w:rsidR="008574E6" w:rsidRPr="005C3D7B">
              <w:rPr>
                <w:bCs/>
                <w:iCs/>
                <w:sz w:val="20"/>
              </w:rPr>
              <w:t>Servicio</w:t>
            </w:r>
            <w:r w:rsidRPr="005C3D7B">
              <w:rPr>
                <w:bCs/>
                <w:iCs/>
                <w:sz w:val="20"/>
              </w:rPr>
              <w:t xml:space="preserve"> y si el monto es mayor a Bs20.000,00 se registrará el incumplimiento en el SICOES. </w:t>
            </w:r>
          </w:p>
          <w:p w:rsidR="005C5AA1" w:rsidRPr="005C3D7B" w:rsidRDefault="005C5AA1" w:rsidP="005C5AA1">
            <w:pPr>
              <w:pStyle w:val="Textoindependiente3"/>
              <w:rPr>
                <w:bCs/>
                <w:iCs/>
                <w:sz w:val="20"/>
              </w:rPr>
            </w:pPr>
          </w:p>
          <w:p w:rsidR="008574E6" w:rsidRPr="00AA5D9E" w:rsidRDefault="005C5AA1" w:rsidP="008574E6">
            <w:pPr>
              <w:pStyle w:val="Textoindependiente3"/>
              <w:rPr>
                <w:bCs/>
                <w:iCs/>
                <w:sz w:val="20"/>
              </w:rPr>
            </w:pPr>
            <w:r w:rsidRPr="005C3D7B">
              <w:rPr>
                <w:bCs/>
                <w:iCs/>
                <w:sz w:val="20"/>
              </w:rPr>
              <w:t xml:space="preserve">Para tal efecto, una vez emitido el Informe de Disconformidad la Unidad Solicitante deberá emitir un Informe Técnico al Responsable Proceso de Contratación, el mismo que dejará sin efecto la Orden de </w:t>
            </w:r>
            <w:r w:rsidR="008574E6" w:rsidRPr="005C3D7B">
              <w:rPr>
                <w:bCs/>
                <w:iCs/>
                <w:sz w:val="20"/>
              </w:rPr>
              <w:t>Servicio</w:t>
            </w:r>
            <w:r w:rsidRPr="005C3D7B">
              <w:rPr>
                <w:bCs/>
                <w:iCs/>
                <w:sz w:val="20"/>
              </w:rPr>
              <w:t>.</w:t>
            </w:r>
          </w:p>
        </w:tc>
      </w:tr>
      <w:tr w:rsidR="008574E6" w:rsidRPr="009234E0" w:rsidTr="009449E1">
        <w:trPr>
          <w:cantSplit/>
          <w:trHeight w:val="397"/>
          <w:jc w:val="center"/>
        </w:trPr>
        <w:tc>
          <w:tcPr>
            <w:tcW w:w="10336" w:type="dxa"/>
            <w:gridSpan w:val="2"/>
            <w:shd w:val="clear" w:color="auto" w:fill="D9D9D9" w:themeFill="background1" w:themeFillShade="D9"/>
            <w:vAlign w:val="center"/>
          </w:tcPr>
          <w:p w:rsidR="008574E6" w:rsidRPr="005C3D7B" w:rsidRDefault="008574E6" w:rsidP="008574E6">
            <w:pPr>
              <w:pStyle w:val="Textoindependiente3"/>
              <w:numPr>
                <w:ilvl w:val="0"/>
                <w:numId w:val="19"/>
              </w:numPr>
              <w:rPr>
                <w:b/>
                <w:bCs/>
                <w:sz w:val="20"/>
                <w:lang w:val="es-ES_tradnl"/>
              </w:rPr>
            </w:pPr>
            <w:r w:rsidRPr="005C3D7B">
              <w:rPr>
                <w:b/>
                <w:bCs/>
                <w:sz w:val="20"/>
              </w:rPr>
              <w:lastRenderedPageBreak/>
              <w:t>RESPONSABLE O COMISIÓN DE RECEPCIÓN</w:t>
            </w:r>
          </w:p>
        </w:tc>
      </w:tr>
      <w:tr w:rsidR="008574E6" w:rsidRPr="009234E0" w:rsidTr="009449E1">
        <w:trPr>
          <w:cantSplit/>
          <w:trHeight w:val="1923"/>
          <w:jc w:val="center"/>
        </w:trPr>
        <w:tc>
          <w:tcPr>
            <w:tcW w:w="10336" w:type="dxa"/>
            <w:gridSpan w:val="2"/>
            <w:shd w:val="clear" w:color="auto" w:fill="auto"/>
            <w:vAlign w:val="center"/>
          </w:tcPr>
          <w:p w:rsidR="008574E6" w:rsidRPr="005C3D7B" w:rsidRDefault="008574E6" w:rsidP="008574E6">
            <w:pPr>
              <w:pStyle w:val="Textoindependiente3"/>
              <w:rPr>
                <w:bCs/>
                <w:sz w:val="20"/>
                <w:lang w:val="es-ES_tradnl"/>
              </w:rPr>
            </w:pPr>
            <w:r w:rsidRPr="005C3D7B">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8574E6" w:rsidRPr="005C3D7B" w:rsidRDefault="008574E6" w:rsidP="008574E6">
            <w:pPr>
              <w:pStyle w:val="Textoindependiente3"/>
              <w:rPr>
                <w:bCs/>
                <w:sz w:val="20"/>
                <w:lang w:val="es-ES_tradnl"/>
              </w:rPr>
            </w:pPr>
          </w:p>
          <w:p w:rsidR="008574E6" w:rsidRPr="005C3D7B" w:rsidRDefault="008574E6" w:rsidP="008574E6">
            <w:pPr>
              <w:pStyle w:val="Textoindependiente3"/>
              <w:numPr>
                <w:ilvl w:val="0"/>
                <w:numId w:val="6"/>
              </w:numPr>
              <w:rPr>
                <w:bCs/>
                <w:sz w:val="20"/>
              </w:rPr>
            </w:pPr>
            <w:r w:rsidRPr="005C3D7B">
              <w:rPr>
                <w:bCs/>
                <w:sz w:val="20"/>
              </w:rPr>
              <w:t>Efectuar la recepción del bien o bienes y dar su conformidad verificando el cumplimiento de las especificaciones técnicas.</w:t>
            </w:r>
          </w:p>
          <w:p w:rsidR="008574E6" w:rsidRPr="005C3D7B" w:rsidRDefault="008574E6" w:rsidP="008574E6">
            <w:pPr>
              <w:pStyle w:val="Textoindependiente3"/>
              <w:numPr>
                <w:ilvl w:val="0"/>
                <w:numId w:val="6"/>
              </w:numPr>
              <w:rPr>
                <w:bCs/>
                <w:sz w:val="20"/>
              </w:rPr>
            </w:pPr>
            <w:r w:rsidRPr="005C3D7B">
              <w:rPr>
                <w:bCs/>
                <w:sz w:val="20"/>
              </w:rPr>
              <w:t>Emitir el informe de conformidad, cuando corresponda. (En un plazo máximo de 10 días calendario a partir de la recepción del bien o de los bienes).</w:t>
            </w:r>
          </w:p>
          <w:p w:rsidR="00AA6F13" w:rsidRPr="00AA5D9E" w:rsidRDefault="008574E6" w:rsidP="008574E6">
            <w:pPr>
              <w:pStyle w:val="Textoindependiente3"/>
              <w:numPr>
                <w:ilvl w:val="0"/>
                <w:numId w:val="6"/>
              </w:numPr>
              <w:rPr>
                <w:bCs/>
                <w:sz w:val="20"/>
              </w:rPr>
            </w:pPr>
            <w:r w:rsidRPr="005C3D7B">
              <w:rPr>
                <w:bCs/>
                <w:sz w:val="20"/>
              </w:rPr>
              <w:t>Emitir el informe de disconformidad, cuando corresponda.</w:t>
            </w:r>
          </w:p>
        </w:tc>
      </w:tr>
      <w:tr w:rsidR="008574E6" w:rsidRPr="005C3D7B" w:rsidTr="009449E1">
        <w:trPr>
          <w:cantSplit/>
          <w:trHeight w:val="397"/>
          <w:jc w:val="center"/>
        </w:trPr>
        <w:tc>
          <w:tcPr>
            <w:tcW w:w="10336" w:type="dxa"/>
            <w:gridSpan w:val="2"/>
            <w:shd w:val="clear" w:color="auto" w:fill="D9D9D9" w:themeFill="background1" w:themeFillShade="D9"/>
            <w:vAlign w:val="center"/>
          </w:tcPr>
          <w:p w:rsidR="008574E6" w:rsidRPr="005C3D7B" w:rsidRDefault="008574E6" w:rsidP="008574E6">
            <w:pPr>
              <w:pStyle w:val="Textoindependiente3"/>
              <w:numPr>
                <w:ilvl w:val="0"/>
                <w:numId w:val="19"/>
              </w:numPr>
              <w:rPr>
                <w:b/>
                <w:bCs/>
                <w:sz w:val="20"/>
              </w:rPr>
            </w:pPr>
            <w:r w:rsidRPr="005C3D7B">
              <w:rPr>
                <w:b/>
                <w:bCs/>
                <w:sz w:val="20"/>
              </w:rPr>
              <w:t>FORMA DE PAGO</w:t>
            </w:r>
          </w:p>
        </w:tc>
      </w:tr>
      <w:tr w:rsidR="008574E6" w:rsidRPr="009234E0" w:rsidTr="009449E1">
        <w:trPr>
          <w:cantSplit/>
          <w:trHeight w:val="429"/>
          <w:jc w:val="center"/>
        </w:trPr>
        <w:tc>
          <w:tcPr>
            <w:tcW w:w="10336" w:type="dxa"/>
            <w:gridSpan w:val="2"/>
            <w:vAlign w:val="center"/>
          </w:tcPr>
          <w:p w:rsidR="008574E6" w:rsidRPr="005C3D7B" w:rsidRDefault="00AA5D9E" w:rsidP="00C025C6">
            <w:pPr>
              <w:pStyle w:val="Textoindependiente3"/>
              <w:ind w:left="28"/>
              <w:rPr>
                <w:iCs/>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Pr>
                <w:iCs/>
                <w:sz w:val="20"/>
              </w:rPr>
              <w:t xml:space="preserve">sable o comisión de recepción) </w:t>
            </w:r>
            <w:r w:rsidRPr="0055550D">
              <w:rPr>
                <w:iCs/>
                <w:sz w:val="20"/>
              </w:rPr>
              <w:t>y remisión de factura.</w:t>
            </w:r>
          </w:p>
        </w:tc>
      </w:tr>
    </w:tbl>
    <w:p w:rsidR="00E52194" w:rsidRPr="005C3D7B" w:rsidRDefault="00E52194">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Default="0004061D">
      <w:pPr>
        <w:spacing w:before="14" w:line="200" w:lineRule="exact"/>
        <w:rPr>
          <w:rFonts w:ascii="Arial" w:hAnsi="Arial" w:cs="Arial"/>
          <w:lang w:val="es-BO"/>
        </w:rPr>
      </w:pPr>
    </w:p>
    <w:p w:rsidR="006E6A7A" w:rsidRDefault="006E6A7A">
      <w:pPr>
        <w:spacing w:before="14" w:line="200" w:lineRule="exact"/>
        <w:rPr>
          <w:rFonts w:ascii="Arial" w:hAnsi="Arial" w:cs="Arial"/>
          <w:lang w:val="es-BO"/>
        </w:rPr>
      </w:pPr>
    </w:p>
    <w:p w:rsidR="006E6A7A" w:rsidRDefault="006E6A7A">
      <w:pPr>
        <w:spacing w:before="14" w:line="200" w:lineRule="exact"/>
        <w:rPr>
          <w:rFonts w:ascii="Arial" w:hAnsi="Arial" w:cs="Arial"/>
          <w:lang w:val="es-BO"/>
        </w:rPr>
      </w:pPr>
    </w:p>
    <w:p w:rsidR="006E6A7A" w:rsidRDefault="006E6A7A">
      <w:pPr>
        <w:spacing w:before="14" w:line="200" w:lineRule="exact"/>
        <w:rPr>
          <w:rFonts w:ascii="Arial" w:hAnsi="Arial" w:cs="Arial"/>
          <w:lang w:val="es-BO"/>
        </w:rPr>
      </w:pPr>
    </w:p>
    <w:p w:rsidR="006E6A7A" w:rsidRDefault="006E6A7A">
      <w:pPr>
        <w:spacing w:before="14" w:line="200" w:lineRule="exact"/>
        <w:rPr>
          <w:rFonts w:ascii="Arial" w:hAnsi="Arial" w:cs="Arial"/>
          <w:lang w:val="es-BO"/>
        </w:rPr>
      </w:pPr>
    </w:p>
    <w:p w:rsidR="006E6A7A" w:rsidRDefault="006E6A7A">
      <w:pPr>
        <w:spacing w:before="14" w:line="200" w:lineRule="exact"/>
        <w:rPr>
          <w:rFonts w:ascii="Arial" w:hAnsi="Arial" w:cs="Arial"/>
          <w:lang w:val="es-BO"/>
        </w:rPr>
      </w:pPr>
    </w:p>
    <w:p w:rsidR="006E6A7A" w:rsidRDefault="006E6A7A">
      <w:pPr>
        <w:spacing w:before="14" w:line="200" w:lineRule="exact"/>
        <w:rPr>
          <w:rFonts w:ascii="Arial" w:hAnsi="Arial" w:cs="Arial"/>
          <w:lang w:val="es-BO"/>
        </w:rPr>
      </w:pPr>
    </w:p>
    <w:p w:rsidR="006E6A7A" w:rsidRDefault="006E6A7A">
      <w:pPr>
        <w:spacing w:before="14" w:line="200" w:lineRule="exact"/>
        <w:rPr>
          <w:rFonts w:ascii="Arial" w:hAnsi="Arial" w:cs="Arial"/>
          <w:lang w:val="es-BO"/>
        </w:rPr>
      </w:pPr>
    </w:p>
    <w:p w:rsidR="006E6A7A" w:rsidRDefault="006E6A7A">
      <w:pPr>
        <w:spacing w:before="14" w:line="200" w:lineRule="exact"/>
        <w:rPr>
          <w:rFonts w:ascii="Arial" w:hAnsi="Arial" w:cs="Arial"/>
          <w:lang w:val="es-BO"/>
        </w:rPr>
      </w:pPr>
    </w:p>
    <w:p w:rsidR="006E6A7A" w:rsidRDefault="006E6A7A">
      <w:pPr>
        <w:spacing w:before="14" w:line="200" w:lineRule="exact"/>
        <w:rPr>
          <w:rFonts w:ascii="Arial" w:hAnsi="Arial" w:cs="Arial"/>
          <w:lang w:val="es-BO"/>
        </w:rPr>
      </w:pPr>
    </w:p>
    <w:p w:rsidR="006E6A7A" w:rsidRDefault="006E6A7A">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bookmarkStart w:id="0" w:name="_GoBack"/>
      <w:bookmarkEnd w:id="0"/>
    </w:p>
    <w:p w:rsidR="0004061D" w:rsidRPr="005C3D7B" w:rsidRDefault="0004061D">
      <w:pPr>
        <w:spacing w:before="14" w:line="200" w:lineRule="exact"/>
        <w:rPr>
          <w:rFonts w:ascii="Arial" w:hAnsi="Arial" w:cs="Arial"/>
          <w:lang w:val="es-BO"/>
        </w:rPr>
      </w:pPr>
    </w:p>
    <w:p w:rsidR="00E866A5" w:rsidRPr="005C3D7B" w:rsidRDefault="00E866A5" w:rsidP="00F73B77">
      <w:pPr>
        <w:spacing w:before="14" w:line="200" w:lineRule="exact"/>
        <w:jc w:val="center"/>
        <w:rPr>
          <w:rFonts w:ascii="Arial" w:hAnsi="Arial" w:cs="Arial"/>
          <w:b/>
          <w:lang w:val="es-BO"/>
        </w:rPr>
      </w:pPr>
    </w:p>
    <w:sectPr w:rsidR="00E866A5" w:rsidRPr="005C3D7B" w:rsidSect="005C3D7B">
      <w:headerReference w:type="default" r:id="rId8"/>
      <w:footerReference w:type="default" r:id="rId9"/>
      <w:pgSz w:w="12240" w:h="15840"/>
      <w:pgMar w:top="1588" w:right="760" w:bottom="1134"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8CD" w:rsidRDefault="00DF38CD" w:rsidP="00892432">
      <w:r>
        <w:separator/>
      </w:r>
    </w:p>
  </w:endnote>
  <w:endnote w:type="continuationSeparator" w:id="0">
    <w:p w:rsidR="00DF38CD" w:rsidRDefault="00DF38C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137" w:rsidRPr="005C3D7B" w:rsidRDefault="00951137" w:rsidP="00951137">
    <w:pPr>
      <w:pStyle w:val="Piedepgina"/>
      <w:jc w:val="center"/>
      <w:rPr>
        <w:rFonts w:ascii="Arial" w:hAnsi="Arial" w:cs="Arial"/>
        <w:sz w:val="13"/>
        <w:szCs w:val="13"/>
        <w:lang w:val="es-BO"/>
      </w:rPr>
    </w:pPr>
    <w:r w:rsidRPr="005C3D7B">
      <w:rPr>
        <w:rFonts w:ascii="Arial" w:hAnsi="Arial" w:cs="Arial"/>
        <w:sz w:val="13"/>
        <w:szCs w:val="13"/>
        <w:lang w:val="es-BO"/>
      </w:rPr>
      <w:t>---------------------------------------------------------------------------------------------------------------------------------------------------------------</w:t>
    </w:r>
  </w:p>
  <w:p w:rsidR="00951137" w:rsidRPr="005C3D7B" w:rsidRDefault="00951137" w:rsidP="00951137">
    <w:pPr>
      <w:pStyle w:val="Piedepgina"/>
      <w:jc w:val="center"/>
      <w:rPr>
        <w:rFonts w:ascii="Arial" w:hAnsi="Arial" w:cs="Arial"/>
        <w:sz w:val="13"/>
        <w:szCs w:val="13"/>
        <w:lang w:val="es-BO"/>
      </w:rPr>
    </w:pPr>
    <w:r w:rsidRPr="005C3D7B">
      <w:rPr>
        <w:rFonts w:ascii="Arial" w:hAnsi="Arial" w:cs="Arial"/>
        <w:color w:val="404040"/>
        <w:sz w:val="13"/>
        <w:szCs w:val="13"/>
        <w:lang w:val="es-BO"/>
      </w:rPr>
      <w:t>Avenida Arce Nº 2985, San Jorge • Teléfono 2430498, Int. 9101 • Fax 2416710 • Casilla 8748 • La Paz, Bolivia</w:t>
    </w:r>
    <w:r w:rsidRPr="005C3D7B">
      <w:rPr>
        <w:rFonts w:ascii="Arial" w:hAnsi="Arial" w:cs="Arial"/>
        <w:sz w:val="13"/>
        <w:szCs w:val="13"/>
        <w:lang w:val="es-BO"/>
      </w:rPr>
      <w:t xml:space="preserve"> </w:t>
    </w:r>
  </w:p>
  <w:p w:rsidR="00951137" w:rsidRPr="005C3D7B" w:rsidRDefault="00951137" w:rsidP="00951137">
    <w:pPr>
      <w:pStyle w:val="Piedepgina"/>
      <w:jc w:val="center"/>
      <w:rPr>
        <w:rFonts w:ascii="Arial" w:hAnsi="Arial" w:cs="Arial"/>
        <w:sz w:val="13"/>
        <w:szCs w:val="13"/>
        <w:lang w:val="es-BO"/>
      </w:rPr>
    </w:pPr>
    <w:r w:rsidRPr="005C3D7B">
      <w:rPr>
        <w:rFonts w:ascii="Arial" w:hAnsi="Arial" w:cs="Arial"/>
        <w:sz w:val="13"/>
        <w:szCs w:val="13"/>
        <w:lang w:val="es-BO"/>
      </w:rPr>
      <w:t xml:space="preserve"> Teléfono central: 2424221 – 2118189 - 2118189 </w:t>
    </w:r>
  </w:p>
  <w:p w:rsidR="00951137" w:rsidRPr="005C3D7B" w:rsidRDefault="00951137" w:rsidP="00951137">
    <w:pPr>
      <w:pStyle w:val="Piedepgina"/>
      <w:jc w:val="center"/>
      <w:rPr>
        <w:rFonts w:ascii="Arial" w:hAnsi="Arial" w:cs="Arial"/>
        <w:sz w:val="13"/>
        <w:szCs w:val="13"/>
        <w:lang w:val="es-BO"/>
      </w:rPr>
    </w:pPr>
    <w:r w:rsidRPr="005C3D7B">
      <w:rPr>
        <w:rFonts w:ascii="Arial" w:hAnsi="Arial" w:cs="Arial"/>
        <w:sz w:val="13"/>
        <w:szCs w:val="13"/>
        <w:lang w:val="es-BO"/>
      </w:rPr>
      <w:t xml:space="preserve">Sitio Web: </w:t>
    </w:r>
    <w:hyperlink r:id="rId1" w:history="1">
      <w:r w:rsidRPr="005C3D7B">
        <w:rPr>
          <w:rStyle w:val="Hipervnculo"/>
          <w:rFonts w:ascii="Arial" w:hAnsi="Arial" w:cs="Arial"/>
          <w:sz w:val="13"/>
          <w:szCs w:val="13"/>
          <w:lang w:val="es-BO"/>
        </w:rPr>
        <w:t>www.oep.org.bo</w:t>
      </w:r>
    </w:hyperlink>
  </w:p>
  <w:p w:rsidR="00951137" w:rsidRPr="00951137" w:rsidRDefault="00951137">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8CD" w:rsidRDefault="00DF38CD" w:rsidP="00892432">
      <w:r>
        <w:separator/>
      </w:r>
    </w:p>
  </w:footnote>
  <w:footnote w:type="continuationSeparator" w:id="0">
    <w:p w:rsidR="00DF38CD" w:rsidRDefault="00DF38C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DB" w:rsidRPr="00197DAA" w:rsidRDefault="003A33DB" w:rsidP="003A33DB">
    <w:pPr>
      <w:pStyle w:val="Encabezado"/>
      <w:jc w:val="center"/>
      <w:rPr>
        <w:rFonts w:ascii="Monotype Corsiva" w:hAnsi="Monotype Corsiva"/>
        <w:sz w:val="32"/>
      </w:rPr>
    </w:pPr>
    <w:r w:rsidRPr="00F54FE1">
      <w:rPr>
        <w:noProof/>
        <w:lang w:val="es-BO" w:eastAsia="es-BO"/>
      </w:rPr>
      <w:drawing>
        <wp:inline distT="0" distB="0" distL="0" distR="0" wp14:anchorId="2D17D35F" wp14:editId="48323B16">
          <wp:extent cx="2323465" cy="528452"/>
          <wp:effectExtent l="0" t="0" r="63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900" cy="535147"/>
                  </a:xfrm>
                  <a:prstGeom prst="rect">
                    <a:avLst/>
                  </a:prstGeom>
                  <a:noFill/>
                  <a:ln>
                    <a:noFill/>
                  </a:ln>
                </pic:spPr>
              </pic:pic>
            </a:graphicData>
          </a:graphic>
        </wp:inline>
      </w:drawing>
    </w:r>
  </w:p>
  <w:p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570"/>
    <w:multiLevelType w:val="hybridMultilevel"/>
    <w:tmpl w:val="F28EF3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720" w:hanging="720"/>
      </w:pPr>
      <w:rPr>
        <w:rFonts w:hint="default"/>
        <w:b/>
        <w:i w:val="0"/>
        <w:color w:val="FFFFFF" w:themeColor="background1"/>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774CF0"/>
    <w:multiLevelType w:val="hybridMultilevel"/>
    <w:tmpl w:val="D368B734"/>
    <w:lvl w:ilvl="0" w:tplc="FFFFFFFF">
      <w:start w:val="1"/>
      <w:numFmt w:val="bullet"/>
      <w:lvlText w:val="•"/>
      <w:lvlJc w:val="left"/>
      <w:pPr>
        <w:ind w:left="794" w:hanging="360"/>
      </w:pPr>
      <w:rPr>
        <w:rFonts w:hint="default"/>
      </w:rPr>
    </w:lvl>
    <w:lvl w:ilvl="1" w:tplc="400A0003" w:tentative="1">
      <w:start w:val="1"/>
      <w:numFmt w:val="bullet"/>
      <w:lvlText w:val="o"/>
      <w:lvlJc w:val="left"/>
      <w:pPr>
        <w:ind w:left="1514" w:hanging="360"/>
      </w:pPr>
      <w:rPr>
        <w:rFonts w:ascii="Courier New" w:hAnsi="Courier New" w:cs="Courier New" w:hint="default"/>
      </w:rPr>
    </w:lvl>
    <w:lvl w:ilvl="2" w:tplc="400A0005" w:tentative="1">
      <w:start w:val="1"/>
      <w:numFmt w:val="bullet"/>
      <w:lvlText w:val=""/>
      <w:lvlJc w:val="left"/>
      <w:pPr>
        <w:ind w:left="2234" w:hanging="360"/>
      </w:pPr>
      <w:rPr>
        <w:rFonts w:ascii="Wingdings" w:hAnsi="Wingdings" w:hint="default"/>
      </w:rPr>
    </w:lvl>
    <w:lvl w:ilvl="3" w:tplc="400A0001" w:tentative="1">
      <w:start w:val="1"/>
      <w:numFmt w:val="bullet"/>
      <w:lvlText w:val=""/>
      <w:lvlJc w:val="left"/>
      <w:pPr>
        <w:ind w:left="2954" w:hanging="360"/>
      </w:pPr>
      <w:rPr>
        <w:rFonts w:ascii="Symbol" w:hAnsi="Symbol" w:hint="default"/>
      </w:rPr>
    </w:lvl>
    <w:lvl w:ilvl="4" w:tplc="400A0003" w:tentative="1">
      <w:start w:val="1"/>
      <w:numFmt w:val="bullet"/>
      <w:lvlText w:val="o"/>
      <w:lvlJc w:val="left"/>
      <w:pPr>
        <w:ind w:left="3674" w:hanging="360"/>
      </w:pPr>
      <w:rPr>
        <w:rFonts w:ascii="Courier New" w:hAnsi="Courier New" w:cs="Courier New" w:hint="default"/>
      </w:rPr>
    </w:lvl>
    <w:lvl w:ilvl="5" w:tplc="400A0005" w:tentative="1">
      <w:start w:val="1"/>
      <w:numFmt w:val="bullet"/>
      <w:lvlText w:val=""/>
      <w:lvlJc w:val="left"/>
      <w:pPr>
        <w:ind w:left="4394" w:hanging="360"/>
      </w:pPr>
      <w:rPr>
        <w:rFonts w:ascii="Wingdings" w:hAnsi="Wingdings" w:hint="default"/>
      </w:rPr>
    </w:lvl>
    <w:lvl w:ilvl="6" w:tplc="400A0001" w:tentative="1">
      <w:start w:val="1"/>
      <w:numFmt w:val="bullet"/>
      <w:lvlText w:val=""/>
      <w:lvlJc w:val="left"/>
      <w:pPr>
        <w:ind w:left="5114" w:hanging="360"/>
      </w:pPr>
      <w:rPr>
        <w:rFonts w:ascii="Symbol" w:hAnsi="Symbol" w:hint="default"/>
      </w:rPr>
    </w:lvl>
    <w:lvl w:ilvl="7" w:tplc="400A0003" w:tentative="1">
      <w:start w:val="1"/>
      <w:numFmt w:val="bullet"/>
      <w:lvlText w:val="o"/>
      <w:lvlJc w:val="left"/>
      <w:pPr>
        <w:ind w:left="5834" w:hanging="360"/>
      </w:pPr>
      <w:rPr>
        <w:rFonts w:ascii="Courier New" w:hAnsi="Courier New" w:cs="Courier New" w:hint="default"/>
      </w:rPr>
    </w:lvl>
    <w:lvl w:ilvl="8" w:tplc="400A0005" w:tentative="1">
      <w:start w:val="1"/>
      <w:numFmt w:val="bullet"/>
      <w:lvlText w:val=""/>
      <w:lvlJc w:val="left"/>
      <w:pPr>
        <w:ind w:left="6554"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E631439"/>
    <w:multiLevelType w:val="hybridMultilevel"/>
    <w:tmpl w:val="0CBAABBE"/>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E655E65"/>
    <w:multiLevelType w:val="hybridMultilevel"/>
    <w:tmpl w:val="66DA58BE"/>
    <w:lvl w:ilvl="0" w:tplc="3410932E">
      <w:start w:val="1"/>
      <w:numFmt w:val="decimal"/>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8">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7EA96EC7"/>
    <w:multiLevelType w:val="hybridMultilevel"/>
    <w:tmpl w:val="FEA0F306"/>
    <w:lvl w:ilvl="0" w:tplc="C6146D88">
      <w:start w:val="1"/>
      <w:numFmt w:val="upperLetter"/>
      <w:lvlText w:val="%1."/>
      <w:lvlJc w:val="left"/>
      <w:pPr>
        <w:ind w:left="360" w:hanging="36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7F67566F"/>
    <w:multiLevelType w:val="hybridMultilevel"/>
    <w:tmpl w:val="46602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7"/>
  </w:num>
  <w:num w:numId="5">
    <w:abstractNumId w:val="5"/>
  </w:num>
  <w:num w:numId="6">
    <w:abstractNumId w:val="2"/>
  </w:num>
  <w:num w:numId="7">
    <w:abstractNumId w:val="17"/>
  </w:num>
  <w:num w:numId="8">
    <w:abstractNumId w:val="6"/>
  </w:num>
  <w:num w:numId="9">
    <w:abstractNumId w:val="16"/>
  </w:num>
  <w:num w:numId="10">
    <w:abstractNumId w:val="1"/>
  </w:num>
  <w:num w:numId="11">
    <w:abstractNumId w:val="4"/>
  </w:num>
  <w:num w:numId="12">
    <w:abstractNumId w:val="19"/>
  </w:num>
  <w:num w:numId="13">
    <w:abstractNumId w:val="20"/>
  </w:num>
  <w:num w:numId="14">
    <w:abstractNumId w:val="13"/>
  </w:num>
  <w:num w:numId="15">
    <w:abstractNumId w:val="9"/>
  </w:num>
  <w:num w:numId="16">
    <w:abstractNumId w:val="12"/>
  </w:num>
  <w:num w:numId="17">
    <w:abstractNumId w:val="21"/>
  </w:num>
  <w:num w:numId="18">
    <w:abstractNumId w:val="18"/>
  </w:num>
  <w:num w:numId="19">
    <w:abstractNumId w:val="22"/>
  </w:num>
  <w:num w:numId="20">
    <w:abstractNumId w:val="23"/>
  </w:num>
  <w:num w:numId="21">
    <w:abstractNumId w:val="0"/>
  </w:num>
  <w:num w:numId="22">
    <w:abstractNumId w:val="8"/>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38B1"/>
    <w:rsid w:val="00024096"/>
    <w:rsid w:val="0004061D"/>
    <w:rsid w:val="00053A0F"/>
    <w:rsid w:val="000912E6"/>
    <w:rsid w:val="0010585B"/>
    <w:rsid w:val="00114CCF"/>
    <w:rsid w:val="00120A17"/>
    <w:rsid w:val="00140600"/>
    <w:rsid w:val="001407C1"/>
    <w:rsid w:val="00143711"/>
    <w:rsid w:val="00155A6F"/>
    <w:rsid w:val="001B454F"/>
    <w:rsid w:val="001B50D6"/>
    <w:rsid w:val="001C565A"/>
    <w:rsid w:val="001D1686"/>
    <w:rsid w:val="001E495E"/>
    <w:rsid w:val="00237EC3"/>
    <w:rsid w:val="002824A6"/>
    <w:rsid w:val="002A48ED"/>
    <w:rsid w:val="002C113E"/>
    <w:rsid w:val="002E35AE"/>
    <w:rsid w:val="00301C83"/>
    <w:rsid w:val="00307FA2"/>
    <w:rsid w:val="00343596"/>
    <w:rsid w:val="00346BB6"/>
    <w:rsid w:val="00363BB8"/>
    <w:rsid w:val="003666A5"/>
    <w:rsid w:val="00390B8A"/>
    <w:rsid w:val="003A33DB"/>
    <w:rsid w:val="003F652E"/>
    <w:rsid w:val="00441B87"/>
    <w:rsid w:val="00485A13"/>
    <w:rsid w:val="0051679A"/>
    <w:rsid w:val="005422D3"/>
    <w:rsid w:val="00543882"/>
    <w:rsid w:val="00551302"/>
    <w:rsid w:val="0055550D"/>
    <w:rsid w:val="005757C6"/>
    <w:rsid w:val="00586EFC"/>
    <w:rsid w:val="005A1C4F"/>
    <w:rsid w:val="005C3D7B"/>
    <w:rsid w:val="005C5AA1"/>
    <w:rsid w:val="005D04B5"/>
    <w:rsid w:val="005E1E4D"/>
    <w:rsid w:val="005E405B"/>
    <w:rsid w:val="00607B7E"/>
    <w:rsid w:val="00632F1D"/>
    <w:rsid w:val="0063425E"/>
    <w:rsid w:val="0063430E"/>
    <w:rsid w:val="00644445"/>
    <w:rsid w:val="00644569"/>
    <w:rsid w:val="00665BDC"/>
    <w:rsid w:val="00665D8D"/>
    <w:rsid w:val="0067507C"/>
    <w:rsid w:val="006823C2"/>
    <w:rsid w:val="00684A15"/>
    <w:rsid w:val="006A7000"/>
    <w:rsid w:val="006B2116"/>
    <w:rsid w:val="006C2A30"/>
    <w:rsid w:val="006C7D0D"/>
    <w:rsid w:val="006D40F3"/>
    <w:rsid w:val="006E6A7A"/>
    <w:rsid w:val="006F661A"/>
    <w:rsid w:val="0071234B"/>
    <w:rsid w:val="00730A80"/>
    <w:rsid w:val="00732542"/>
    <w:rsid w:val="00745247"/>
    <w:rsid w:val="0077329D"/>
    <w:rsid w:val="007922E6"/>
    <w:rsid w:val="00796953"/>
    <w:rsid w:val="007B4E9B"/>
    <w:rsid w:val="007E7ABB"/>
    <w:rsid w:val="007F0DE7"/>
    <w:rsid w:val="00820EAA"/>
    <w:rsid w:val="00852C6D"/>
    <w:rsid w:val="008574E6"/>
    <w:rsid w:val="008906C0"/>
    <w:rsid w:val="00892432"/>
    <w:rsid w:val="008C3F05"/>
    <w:rsid w:val="00922074"/>
    <w:rsid w:val="009234E0"/>
    <w:rsid w:val="00941A33"/>
    <w:rsid w:val="009449E1"/>
    <w:rsid w:val="00951137"/>
    <w:rsid w:val="00953CE8"/>
    <w:rsid w:val="00965AAC"/>
    <w:rsid w:val="009815D5"/>
    <w:rsid w:val="00984041"/>
    <w:rsid w:val="009E33CA"/>
    <w:rsid w:val="00A23F45"/>
    <w:rsid w:val="00A71719"/>
    <w:rsid w:val="00A807F0"/>
    <w:rsid w:val="00A84A07"/>
    <w:rsid w:val="00A91549"/>
    <w:rsid w:val="00A9556E"/>
    <w:rsid w:val="00AA047F"/>
    <w:rsid w:val="00AA5D9E"/>
    <w:rsid w:val="00AA6A80"/>
    <w:rsid w:val="00AA6F13"/>
    <w:rsid w:val="00AB3F6D"/>
    <w:rsid w:val="00AB72AA"/>
    <w:rsid w:val="00AF1D1B"/>
    <w:rsid w:val="00B112C1"/>
    <w:rsid w:val="00B71344"/>
    <w:rsid w:val="00B81E1C"/>
    <w:rsid w:val="00B9352B"/>
    <w:rsid w:val="00B954D3"/>
    <w:rsid w:val="00BB547C"/>
    <w:rsid w:val="00BD6C82"/>
    <w:rsid w:val="00C025C6"/>
    <w:rsid w:val="00C13DF9"/>
    <w:rsid w:val="00C47F8D"/>
    <w:rsid w:val="00C631B4"/>
    <w:rsid w:val="00C94DDA"/>
    <w:rsid w:val="00CB5280"/>
    <w:rsid w:val="00CB7616"/>
    <w:rsid w:val="00CC40BF"/>
    <w:rsid w:val="00CD323F"/>
    <w:rsid w:val="00D320D6"/>
    <w:rsid w:val="00D35351"/>
    <w:rsid w:val="00D3787D"/>
    <w:rsid w:val="00D55360"/>
    <w:rsid w:val="00D86C57"/>
    <w:rsid w:val="00DC7B60"/>
    <w:rsid w:val="00DD6E8E"/>
    <w:rsid w:val="00DE2E24"/>
    <w:rsid w:val="00DF38CD"/>
    <w:rsid w:val="00DF6B2D"/>
    <w:rsid w:val="00DF7156"/>
    <w:rsid w:val="00E1280B"/>
    <w:rsid w:val="00E42282"/>
    <w:rsid w:val="00E42895"/>
    <w:rsid w:val="00E4303C"/>
    <w:rsid w:val="00E52194"/>
    <w:rsid w:val="00E622DE"/>
    <w:rsid w:val="00E766C3"/>
    <w:rsid w:val="00E866A5"/>
    <w:rsid w:val="00EC027E"/>
    <w:rsid w:val="00EC6678"/>
    <w:rsid w:val="00ED4B5D"/>
    <w:rsid w:val="00EF13A8"/>
    <w:rsid w:val="00EF6DFF"/>
    <w:rsid w:val="00F30418"/>
    <w:rsid w:val="00F67D9A"/>
    <w:rsid w:val="00F73B77"/>
    <w:rsid w:val="00F91B52"/>
    <w:rsid w:val="00FA0E1B"/>
    <w:rsid w:val="00FA6799"/>
    <w:rsid w:val="00FB0449"/>
    <w:rsid w:val="00FB5ACD"/>
    <w:rsid w:val="00FB70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6A7000"/>
    <w:pPr>
      <w:autoSpaceDE w:val="0"/>
      <w:autoSpaceDN w:val="0"/>
      <w:adjustRightInd w:val="0"/>
    </w:pPr>
    <w:rPr>
      <w:rFonts w:ascii="Calibri" w:hAnsi="Calibri" w:cs="Calibri"/>
      <w:color w:val="000000"/>
      <w:sz w:val="24"/>
      <w:szCs w:val="24"/>
      <w:lang w:val="es-BO" w:eastAsia="es-BO"/>
    </w:rPr>
  </w:style>
  <w:style w:type="character" w:styleId="Hipervnculo">
    <w:name w:val="Hyperlink"/>
    <w:basedOn w:val="Fuentedeprrafopredeter"/>
    <w:uiPriority w:val="99"/>
    <w:unhideWhenUsed/>
    <w:rsid w:val="009511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54C5D-90DD-44BC-9E2A-0DF5FA61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700</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soledad gregoria quispe choque</cp:lastModifiedBy>
  <cp:revision>7</cp:revision>
  <cp:lastPrinted>2020-07-22T20:22:00Z</cp:lastPrinted>
  <dcterms:created xsi:type="dcterms:W3CDTF">2020-07-22T20:18:00Z</dcterms:created>
  <dcterms:modified xsi:type="dcterms:W3CDTF">2020-07-22T20:59:00Z</dcterms:modified>
</cp:coreProperties>
</file>