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5170" w14:textId="77777777" w:rsidR="00DF6DFD" w:rsidRDefault="00DF6DFD" w:rsidP="00D110EA">
      <w:pPr>
        <w:spacing w:before="14" w:line="200" w:lineRule="exact"/>
        <w:jc w:val="center"/>
        <w:rPr>
          <w:rFonts w:ascii="Arial" w:hAnsi="Arial" w:cs="Arial"/>
          <w:b/>
          <w:sz w:val="22"/>
          <w:szCs w:val="22"/>
          <w:lang w:val="es-BO"/>
        </w:rPr>
      </w:pPr>
    </w:p>
    <w:p w14:paraId="07E5A0E7" w14:textId="2DB7AF15" w:rsidR="00810F79" w:rsidRPr="006D1D8A" w:rsidRDefault="00810F79" w:rsidP="006D1D8A">
      <w:pPr>
        <w:jc w:val="center"/>
        <w:rPr>
          <w:rFonts w:ascii="Arial" w:hAnsi="Arial" w:cs="Arial"/>
          <w:b/>
          <w:color w:val="7030A0"/>
          <w:lang w:val="es-BO"/>
        </w:rPr>
      </w:pPr>
      <w:r w:rsidRPr="008A7A46">
        <w:rPr>
          <w:rFonts w:ascii="Arial" w:hAnsi="Arial" w:cs="Arial"/>
          <w:b/>
          <w:lang w:val="es-BO"/>
        </w:rPr>
        <w:t>ES</w:t>
      </w:r>
      <w:r w:rsidR="005E51D9">
        <w:rPr>
          <w:rFonts w:ascii="Arial" w:hAnsi="Arial" w:cs="Arial"/>
          <w:b/>
          <w:lang w:val="es-BO"/>
        </w:rPr>
        <w:t>PECIFICACIONES TÉCNICAS DEL SERVICIO</w:t>
      </w:r>
    </w:p>
    <w:p w14:paraId="2DB45254" w14:textId="77777777" w:rsidR="00751A8E" w:rsidRPr="008A7A46" w:rsidRDefault="00810F79" w:rsidP="00751A8E">
      <w:pPr>
        <w:jc w:val="both"/>
        <w:rPr>
          <w:rFonts w:ascii="Arial" w:hAnsi="Arial" w:cs="Arial"/>
          <w:b/>
          <w:bCs/>
          <w:lang w:val="es-BO"/>
        </w:rPr>
      </w:pPr>
      <w:r w:rsidRPr="008A7A46">
        <w:rPr>
          <w:rFonts w:ascii="Arial" w:hAnsi="Arial" w:cs="Arial"/>
          <w:b/>
          <w:u w:val="single"/>
          <w:lang w:val="es-BO"/>
        </w:rPr>
        <w:t>OBJETO DE CONTRATACION</w:t>
      </w:r>
      <w:r w:rsidRPr="008A7A46">
        <w:rPr>
          <w:rFonts w:ascii="Arial" w:hAnsi="Arial" w:cs="Arial"/>
          <w:b/>
          <w:lang w:val="es-BO"/>
        </w:rPr>
        <w:t xml:space="preserve">: </w:t>
      </w:r>
      <w:r w:rsidR="00751A8E" w:rsidRPr="008A7A46">
        <w:rPr>
          <w:rFonts w:ascii="Arial" w:hAnsi="Arial" w:cs="Arial"/>
          <w:b/>
          <w:lang w:val="es-BO"/>
        </w:rPr>
        <w:t>SERVICIO DE ALQUILER - SISTEMA DE MONITOREO EN TIEMPO REAL - ELECCIONES SUBNACIONALES 2021</w:t>
      </w:r>
    </w:p>
    <w:p w14:paraId="1A3BD2B2" w14:textId="0BB80580" w:rsidR="00810F79" w:rsidRPr="00742380" w:rsidRDefault="00810F79" w:rsidP="00810F79">
      <w:pPr>
        <w:jc w:val="both"/>
        <w:rPr>
          <w:rFonts w:ascii="Bookman Old Style" w:hAnsi="Bookman Old Style" w:cs="Arial"/>
          <w:b/>
          <w:u w:val="single"/>
          <w:lang w:val="es-BO"/>
        </w:rPr>
      </w:pPr>
    </w:p>
    <w:tbl>
      <w:tblPr>
        <w:tblW w:w="10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7"/>
      </w:tblGrid>
      <w:tr w:rsidR="00810F79" w:rsidRPr="002C0FA2" w14:paraId="43D55F67" w14:textId="77777777" w:rsidTr="008D5849">
        <w:trPr>
          <w:trHeight w:val="397"/>
        </w:trPr>
        <w:tc>
          <w:tcPr>
            <w:tcW w:w="10057" w:type="dxa"/>
            <w:shd w:val="clear" w:color="auto" w:fill="000000" w:themeFill="text1"/>
            <w:vAlign w:val="center"/>
          </w:tcPr>
          <w:p w14:paraId="040EB8D4" w14:textId="41743699" w:rsidR="00810F79" w:rsidRPr="00742380" w:rsidRDefault="00FC23ED" w:rsidP="008D5849">
            <w:pPr>
              <w:pStyle w:val="Textoindependiente3"/>
              <w:numPr>
                <w:ilvl w:val="0"/>
                <w:numId w:val="5"/>
              </w:numPr>
              <w:rPr>
                <w:rFonts w:ascii="Bookman Old Style" w:hAnsi="Bookman Old Style"/>
                <w:b/>
                <w:bCs/>
                <w:sz w:val="20"/>
                <w:lang w:val="es-BO"/>
              </w:rPr>
            </w:pPr>
            <w:r w:rsidRPr="003708A2">
              <w:rPr>
                <w:b/>
                <w:bCs/>
                <w:sz w:val="20"/>
              </w:rPr>
              <w:t>CARACTERÍSTICAS GENERALES DEL (LOS) SERVICIO(S)</w:t>
            </w:r>
          </w:p>
        </w:tc>
      </w:tr>
      <w:tr w:rsidR="00FC23ED" w:rsidRPr="002C0FA2" w14:paraId="517C160B" w14:textId="77777777" w:rsidTr="008D5849">
        <w:trPr>
          <w:trHeight w:val="463"/>
        </w:trPr>
        <w:tc>
          <w:tcPr>
            <w:tcW w:w="10057" w:type="dxa"/>
            <w:shd w:val="clear" w:color="auto" w:fill="D9D9D9" w:themeFill="background1" w:themeFillShade="D9"/>
            <w:vAlign w:val="center"/>
          </w:tcPr>
          <w:p w14:paraId="6BB9C9B5" w14:textId="27ED3D5B" w:rsidR="00FC23ED" w:rsidRPr="00742380" w:rsidRDefault="00FC23ED" w:rsidP="00FC23ED">
            <w:pPr>
              <w:pStyle w:val="Textoindependiente3"/>
              <w:numPr>
                <w:ilvl w:val="0"/>
                <w:numId w:val="3"/>
              </w:numPr>
              <w:rPr>
                <w:rFonts w:ascii="Bookman Old Style" w:hAnsi="Bookman Old Style"/>
                <w:bCs/>
                <w:iCs/>
                <w:sz w:val="20"/>
                <w:lang w:val="es-BO"/>
              </w:rPr>
            </w:pPr>
            <w:r w:rsidRPr="00736756">
              <w:rPr>
                <w:b/>
                <w:bCs/>
                <w:sz w:val="20"/>
              </w:rPr>
              <w:t>REQUISITOS DEL SERVICIO</w:t>
            </w:r>
          </w:p>
        </w:tc>
      </w:tr>
      <w:tr w:rsidR="00810F79" w:rsidRPr="00742380" w14:paraId="1AA521FF" w14:textId="77777777" w:rsidTr="008D5849">
        <w:trPr>
          <w:trHeight w:val="414"/>
        </w:trPr>
        <w:tc>
          <w:tcPr>
            <w:tcW w:w="10057" w:type="dxa"/>
            <w:shd w:val="clear" w:color="auto" w:fill="auto"/>
            <w:vAlign w:val="center"/>
          </w:tcPr>
          <w:p w14:paraId="2066966A" w14:textId="77777777" w:rsidR="00810F79" w:rsidRPr="00742380" w:rsidRDefault="00810F79" w:rsidP="008D5849">
            <w:pPr>
              <w:contextualSpacing/>
              <w:rPr>
                <w:rFonts w:ascii="Bookman Old Style" w:hAnsi="Bookman Old Style" w:cs="Arial"/>
                <w:b/>
                <w:iCs/>
                <w:lang w:val="es-BO"/>
              </w:rPr>
            </w:pPr>
            <w:r w:rsidRPr="00742380">
              <w:rPr>
                <w:rFonts w:ascii="Bookman Old Style" w:hAnsi="Bookman Old Style" w:cs="Arial"/>
                <w:b/>
                <w:iCs/>
                <w:lang w:val="es-BO"/>
              </w:rPr>
              <w:t>Características técnicas:</w:t>
            </w:r>
            <w:r w:rsidRPr="00742380">
              <w:rPr>
                <w:rFonts w:ascii="Bookman Old Style" w:hAnsi="Bookman Old Style" w:cs="Arial"/>
                <w:b/>
                <w:bCs/>
              </w:rPr>
              <w:t xml:space="preserve"> </w:t>
            </w:r>
          </w:p>
        </w:tc>
      </w:tr>
      <w:tr w:rsidR="00810F79" w:rsidRPr="00FC23ED" w14:paraId="5AF92202" w14:textId="77777777" w:rsidTr="008D5849">
        <w:trPr>
          <w:trHeight w:val="130"/>
        </w:trPr>
        <w:tc>
          <w:tcPr>
            <w:tcW w:w="10057" w:type="dxa"/>
            <w:shd w:val="clear" w:color="auto" w:fill="auto"/>
            <w:vAlign w:val="center"/>
          </w:tcPr>
          <w:p w14:paraId="0AC0D279" w14:textId="77777777" w:rsidR="00FC23ED" w:rsidRDefault="00FC23ED" w:rsidP="00FC23ED">
            <w:pPr>
              <w:pStyle w:val="Textoindependiente3"/>
              <w:jc w:val="left"/>
              <w:rPr>
                <w:b/>
                <w:bCs/>
                <w:u w:val="single"/>
              </w:rPr>
            </w:pPr>
          </w:p>
          <w:p w14:paraId="48EABEF8" w14:textId="77777777" w:rsidR="00FC23ED" w:rsidRDefault="00FC23ED" w:rsidP="00FC23ED">
            <w:pPr>
              <w:pStyle w:val="Textoindependiente3"/>
              <w:jc w:val="left"/>
              <w:rPr>
                <w:b/>
                <w:bCs/>
                <w:sz w:val="20"/>
                <w:u w:val="single"/>
              </w:rPr>
            </w:pPr>
            <w:r w:rsidRPr="00751A8E">
              <w:rPr>
                <w:b/>
                <w:bCs/>
                <w:sz w:val="20"/>
                <w:u w:val="single"/>
              </w:rPr>
              <w:t>ALQUILER DE SISTEMA DE MONITOREO EN TIEMPO REAL:</w:t>
            </w:r>
          </w:p>
          <w:p w14:paraId="7F4899F5" w14:textId="77777777" w:rsidR="00751A8E" w:rsidRPr="00751A8E" w:rsidRDefault="00751A8E" w:rsidP="00FC23ED">
            <w:pPr>
              <w:pStyle w:val="Textoindependiente3"/>
              <w:jc w:val="left"/>
              <w:rPr>
                <w:b/>
                <w:bCs/>
                <w:sz w:val="20"/>
                <w:u w:val="single"/>
                <w:lang w:val="es-BO"/>
              </w:rPr>
            </w:pPr>
          </w:p>
          <w:p w14:paraId="70AD0373" w14:textId="77777777" w:rsidR="00FC23ED" w:rsidRPr="00751A8E" w:rsidRDefault="00FC23ED" w:rsidP="00751A8E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751A8E">
              <w:rPr>
                <w:rFonts w:ascii="Arial" w:hAnsi="Arial" w:cs="Arial"/>
              </w:rPr>
              <w:t>Descripción:</w:t>
            </w:r>
          </w:p>
          <w:p w14:paraId="386A42B9" w14:textId="77777777" w:rsidR="00FC23ED" w:rsidRPr="00751A8E" w:rsidRDefault="00FC23ED" w:rsidP="00FC23ED">
            <w:pPr>
              <w:pStyle w:val="Prrafodelista"/>
              <w:numPr>
                <w:ilvl w:val="4"/>
                <w:numId w:val="21"/>
              </w:numPr>
              <w:ind w:left="1080"/>
              <w:rPr>
                <w:rFonts w:ascii="Arial" w:hAnsi="Arial" w:cs="Arial"/>
              </w:rPr>
            </w:pPr>
            <w:r w:rsidRPr="00751A8E">
              <w:rPr>
                <w:rFonts w:ascii="Arial" w:hAnsi="Arial" w:cs="Arial"/>
                <w:bCs/>
              </w:rPr>
              <w:t>Sistema de Información Geográfica para monitorear el traslado del material electoral mediante los dispositivos celulares del personal que participa en la cadena de custodia.</w:t>
            </w:r>
          </w:p>
          <w:p w14:paraId="5F8E7511" w14:textId="77777777" w:rsidR="00FC23ED" w:rsidRPr="00751A8E" w:rsidRDefault="00FC23ED" w:rsidP="00751A8E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751A8E">
              <w:rPr>
                <w:rFonts w:ascii="Arial" w:hAnsi="Arial" w:cs="Arial"/>
                <w:bCs/>
              </w:rPr>
              <w:t>Funcionalidad:</w:t>
            </w:r>
          </w:p>
          <w:p w14:paraId="772E006A" w14:textId="77777777" w:rsidR="00FC23ED" w:rsidRPr="00751A8E" w:rsidRDefault="00FC23ED" w:rsidP="00FC23ED">
            <w:pPr>
              <w:pStyle w:val="Prrafodelista"/>
              <w:numPr>
                <w:ilvl w:val="4"/>
                <w:numId w:val="21"/>
              </w:numPr>
              <w:ind w:left="1080"/>
              <w:rPr>
                <w:rFonts w:ascii="Arial" w:hAnsi="Arial" w:cs="Arial"/>
              </w:rPr>
            </w:pPr>
            <w:r w:rsidRPr="00751A8E">
              <w:rPr>
                <w:rFonts w:ascii="Arial" w:hAnsi="Arial" w:cs="Arial"/>
              </w:rPr>
              <w:t>Debe permitir visualizar en mapa la ubicación física en tiempo real de alguno de los integrantes que conforman las comisiones que trasladan el material electoral.</w:t>
            </w:r>
          </w:p>
          <w:p w14:paraId="3AD2CA49" w14:textId="77777777" w:rsidR="00FC23ED" w:rsidRPr="00751A8E" w:rsidRDefault="00FC23ED" w:rsidP="00FC23ED">
            <w:pPr>
              <w:pStyle w:val="Prrafodelista"/>
              <w:numPr>
                <w:ilvl w:val="4"/>
                <w:numId w:val="21"/>
              </w:numPr>
              <w:ind w:left="1080"/>
              <w:rPr>
                <w:rFonts w:ascii="Arial" w:hAnsi="Arial" w:cs="Arial"/>
              </w:rPr>
            </w:pPr>
            <w:r w:rsidRPr="00751A8E">
              <w:rPr>
                <w:rFonts w:ascii="Arial" w:hAnsi="Arial" w:cs="Arial"/>
                <w:bCs/>
              </w:rPr>
              <w:t>Debe permitir clasificar e identificar unívocamente al personal a monitorear mediante colores y/o etiquetas.</w:t>
            </w:r>
          </w:p>
          <w:p w14:paraId="43A71C06" w14:textId="77777777" w:rsidR="00FC23ED" w:rsidRPr="00751A8E" w:rsidRDefault="00FC23ED" w:rsidP="00FC23ED">
            <w:pPr>
              <w:pStyle w:val="Prrafodelista"/>
              <w:numPr>
                <w:ilvl w:val="4"/>
                <w:numId w:val="21"/>
              </w:numPr>
              <w:ind w:left="1080"/>
              <w:rPr>
                <w:rFonts w:ascii="Arial" w:hAnsi="Arial" w:cs="Arial"/>
              </w:rPr>
            </w:pPr>
            <w:r w:rsidRPr="00751A8E">
              <w:rPr>
                <w:rFonts w:ascii="Arial" w:hAnsi="Arial" w:cs="Arial"/>
                <w:bCs/>
              </w:rPr>
              <w:t>Debe permitir visualizar y registrar en tiempo real, de manera automática, la ubicación física (coordenadas geográficas o equivalentes) y el instante de tiempo (fecha y hora) del personal monitoreado (notarios, coordinadores, efectivos de custodia o choferes), durante la posesión del material electoral, su traslado a los recintos electorales y el retorno correspondiente.</w:t>
            </w:r>
          </w:p>
          <w:p w14:paraId="7CEAF349" w14:textId="77777777" w:rsidR="00FC23ED" w:rsidRPr="00751A8E" w:rsidRDefault="00FC23ED" w:rsidP="00FC23ED">
            <w:pPr>
              <w:pStyle w:val="Prrafodelista"/>
              <w:numPr>
                <w:ilvl w:val="4"/>
                <w:numId w:val="21"/>
              </w:numPr>
              <w:ind w:left="1080"/>
              <w:rPr>
                <w:rFonts w:ascii="Arial" w:hAnsi="Arial" w:cs="Arial"/>
              </w:rPr>
            </w:pPr>
            <w:r w:rsidRPr="00751A8E">
              <w:rPr>
                <w:rFonts w:ascii="Arial" w:hAnsi="Arial" w:cs="Arial"/>
              </w:rPr>
              <w:t>Debe visualizar la ubicación geográfica los recintos y asientos electorales definidos por el OEP.</w:t>
            </w:r>
          </w:p>
          <w:p w14:paraId="5C8420F1" w14:textId="77777777" w:rsidR="00FC23ED" w:rsidRPr="00751A8E" w:rsidRDefault="00FC23ED" w:rsidP="00FC23ED">
            <w:pPr>
              <w:pStyle w:val="Prrafodelista"/>
              <w:numPr>
                <w:ilvl w:val="4"/>
                <w:numId w:val="21"/>
              </w:numPr>
              <w:ind w:left="1080"/>
              <w:rPr>
                <w:rFonts w:ascii="Arial" w:hAnsi="Arial" w:cs="Arial"/>
              </w:rPr>
            </w:pPr>
            <w:r w:rsidRPr="00751A8E">
              <w:rPr>
                <w:rFonts w:ascii="Arial" w:hAnsi="Arial" w:cs="Arial"/>
              </w:rPr>
              <w:t>Opcionalmente debe visualizar las rutas de distribución de material electoral y las rutas de recojo del material, definidos por el OEP.</w:t>
            </w:r>
          </w:p>
          <w:p w14:paraId="53F0AD45" w14:textId="77777777" w:rsidR="00FC23ED" w:rsidRPr="00751A8E" w:rsidRDefault="00FC23ED" w:rsidP="00FC23ED">
            <w:pPr>
              <w:pStyle w:val="Prrafodelista"/>
              <w:numPr>
                <w:ilvl w:val="4"/>
                <w:numId w:val="21"/>
              </w:numPr>
              <w:ind w:left="1080"/>
              <w:rPr>
                <w:rFonts w:ascii="Arial" w:hAnsi="Arial" w:cs="Arial"/>
              </w:rPr>
            </w:pPr>
            <w:r w:rsidRPr="00751A8E">
              <w:rPr>
                <w:rFonts w:ascii="Arial" w:hAnsi="Arial" w:cs="Arial"/>
              </w:rPr>
              <w:t>Debe permitir realizar el poblamiento de la información del personal de las comisiones de traslado de material e información geográfica del OEP (asientos, recintos, rutas).</w:t>
            </w:r>
          </w:p>
          <w:p w14:paraId="5334033C" w14:textId="77777777" w:rsidR="00FC23ED" w:rsidRPr="00751A8E" w:rsidRDefault="00FC23ED" w:rsidP="00FC23ED">
            <w:pPr>
              <w:pStyle w:val="Prrafodelista"/>
              <w:numPr>
                <w:ilvl w:val="4"/>
                <w:numId w:val="21"/>
              </w:numPr>
              <w:ind w:left="1080"/>
              <w:rPr>
                <w:rFonts w:ascii="Arial" w:hAnsi="Arial" w:cs="Arial"/>
              </w:rPr>
            </w:pPr>
            <w:r w:rsidRPr="00751A8E">
              <w:rPr>
                <w:rFonts w:ascii="Arial" w:hAnsi="Arial" w:cs="Arial"/>
              </w:rPr>
              <w:t xml:space="preserve">Debe emitir reportes de las funcionalidades requeridas.   </w:t>
            </w:r>
          </w:p>
          <w:p w14:paraId="0D6D0677" w14:textId="77777777" w:rsidR="00FC23ED" w:rsidRPr="00751A8E" w:rsidRDefault="00FC23ED" w:rsidP="00751A8E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751A8E">
              <w:rPr>
                <w:rFonts w:ascii="Arial" w:hAnsi="Arial" w:cs="Arial"/>
              </w:rPr>
              <w:t>Requerimientos técnicos (proporcionados por el TSE):</w:t>
            </w:r>
          </w:p>
          <w:p w14:paraId="2A9DCBC3" w14:textId="77777777" w:rsidR="00FC23ED" w:rsidRPr="00751A8E" w:rsidRDefault="00FC23ED" w:rsidP="00FC23ED">
            <w:pPr>
              <w:pStyle w:val="Prrafodelista"/>
              <w:numPr>
                <w:ilvl w:val="4"/>
                <w:numId w:val="21"/>
              </w:numPr>
              <w:ind w:left="1080"/>
              <w:rPr>
                <w:rFonts w:ascii="Arial" w:hAnsi="Arial" w:cs="Arial"/>
              </w:rPr>
            </w:pPr>
            <w:r w:rsidRPr="00751A8E">
              <w:rPr>
                <w:rFonts w:ascii="Arial" w:hAnsi="Arial" w:cs="Arial"/>
              </w:rPr>
              <w:t>El TSE proporcionará el servidor, la conexión de red e internet con IP pública y 10 puertos libres para la conexión de los celulares con el servidor.</w:t>
            </w:r>
          </w:p>
          <w:p w14:paraId="029ECB17" w14:textId="77777777" w:rsidR="00FC23ED" w:rsidRPr="00751A8E" w:rsidRDefault="00FC23ED" w:rsidP="00FC23ED">
            <w:pPr>
              <w:pStyle w:val="Prrafodelista"/>
              <w:numPr>
                <w:ilvl w:val="4"/>
                <w:numId w:val="21"/>
              </w:numPr>
              <w:ind w:left="1080"/>
              <w:rPr>
                <w:rFonts w:ascii="Arial" w:hAnsi="Arial" w:cs="Arial"/>
              </w:rPr>
            </w:pPr>
            <w:r w:rsidRPr="00751A8E">
              <w:rPr>
                <w:rFonts w:ascii="Arial" w:hAnsi="Arial" w:cs="Arial"/>
              </w:rPr>
              <w:t>Los TED proporcionarán computadoras PC para la utilización del sistema.</w:t>
            </w:r>
          </w:p>
          <w:p w14:paraId="20E1DD44" w14:textId="77777777" w:rsidR="00FC23ED" w:rsidRPr="00751A8E" w:rsidRDefault="00FC23ED" w:rsidP="00751A8E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751A8E">
              <w:rPr>
                <w:rFonts w:ascii="Arial" w:hAnsi="Arial" w:cs="Arial"/>
              </w:rPr>
              <w:t>Instalación y configuración:</w:t>
            </w:r>
          </w:p>
          <w:p w14:paraId="13F23E1E" w14:textId="77777777" w:rsidR="00FC23ED" w:rsidRPr="00751A8E" w:rsidRDefault="00FC23ED" w:rsidP="00FC23ED">
            <w:pPr>
              <w:pStyle w:val="Prrafodelista"/>
              <w:numPr>
                <w:ilvl w:val="4"/>
                <w:numId w:val="21"/>
              </w:numPr>
              <w:ind w:left="1080"/>
              <w:rPr>
                <w:rFonts w:ascii="Arial" w:hAnsi="Arial" w:cs="Arial"/>
              </w:rPr>
            </w:pPr>
            <w:r w:rsidRPr="00751A8E">
              <w:rPr>
                <w:rFonts w:ascii="Arial" w:hAnsi="Arial" w:cs="Arial"/>
              </w:rPr>
              <w:t>El servicio incluye la instalación del sistema o programas requeridos y de la base de datos.</w:t>
            </w:r>
          </w:p>
          <w:p w14:paraId="4F45C928" w14:textId="77777777" w:rsidR="00FC23ED" w:rsidRPr="00751A8E" w:rsidRDefault="00FC23ED" w:rsidP="00FC23ED">
            <w:pPr>
              <w:pStyle w:val="Prrafodelista"/>
              <w:numPr>
                <w:ilvl w:val="4"/>
                <w:numId w:val="21"/>
              </w:numPr>
              <w:ind w:left="1080"/>
              <w:rPr>
                <w:rFonts w:ascii="Arial" w:hAnsi="Arial" w:cs="Arial"/>
              </w:rPr>
            </w:pPr>
            <w:r w:rsidRPr="00751A8E">
              <w:rPr>
                <w:rFonts w:ascii="Arial" w:hAnsi="Arial" w:cs="Arial"/>
              </w:rPr>
              <w:t>El TSE proporcionará un usuario con acceso al servidor para la instalación de la base de datos y el sistema o programas requeridos y para las tareas de asistencia o soporte técnico.</w:t>
            </w:r>
          </w:p>
          <w:p w14:paraId="4342EF94" w14:textId="77777777" w:rsidR="00FC23ED" w:rsidRPr="00751A8E" w:rsidRDefault="00FC23ED" w:rsidP="00FC23ED">
            <w:pPr>
              <w:pStyle w:val="Prrafodelista"/>
              <w:numPr>
                <w:ilvl w:val="4"/>
                <w:numId w:val="21"/>
              </w:numPr>
              <w:ind w:left="1080"/>
              <w:rPr>
                <w:rFonts w:ascii="Arial" w:hAnsi="Arial" w:cs="Arial"/>
              </w:rPr>
            </w:pPr>
            <w:r w:rsidRPr="00751A8E">
              <w:rPr>
                <w:rFonts w:ascii="Arial" w:hAnsi="Arial" w:cs="Arial"/>
              </w:rPr>
              <w:t>El TSE preverá las medidas de seguridad en la red de datos y comunicaciones y coordinará los accesos requeridos con el proveedor del servicio.</w:t>
            </w:r>
          </w:p>
          <w:p w14:paraId="79EDD7C1" w14:textId="77777777" w:rsidR="00FC23ED" w:rsidRPr="00751A8E" w:rsidRDefault="00FC23ED" w:rsidP="00751A8E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751A8E">
              <w:rPr>
                <w:rFonts w:ascii="Arial" w:hAnsi="Arial" w:cs="Arial"/>
              </w:rPr>
              <w:t>Soporte técnico:</w:t>
            </w:r>
          </w:p>
          <w:p w14:paraId="347B02E5" w14:textId="77777777" w:rsidR="00FC23ED" w:rsidRPr="00751A8E" w:rsidRDefault="00FC23ED" w:rsidP="00FC23ED">
            <w:pPr>
              <w:pStyle w:val="Prrafodelista"/>
              <w:numPr>
                <w:ilvl w:val="4"/>
                <w:numId w:val="21"/>
              </w:numPr>
              <w:ind w:left="1080"/>
              <w:rPr>
                <w:rFonts w:ascii="Arial" w:hAnsi="Arial" w:cs="Arial"/>
              </w:rPr>
            </w:pPr>
            <w:r w:rsidRPr="00751A8E">
              <w:rPr>
                <w:rFonts w:ascii="Arial" w:hAnsi="Arial" w:cs="Arial"/>
              </w:rPr>
              <w:t>El servicio incluye soporte técnico presencial o remoto durante el tiempo del servicio para los 9 departamentos.</w:t>
            </w:r>
          </w:p>
          <w:p w14:paraId="6E2AE7BA" w14:textId="77777777" w:rsidR="00FC23ED" w:rsidRPr="00751A8E" w:rsidRDefault="00FC23ED" w:rsidP="00751A8E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751A8E">
              <w:rPr>
                <w:rFonts w:ascii="Arial" w:hAnsi="Arial" w:cs="Arial"/>
              </w:rPr>
              <w:t>Capacitación:</w:t>
            </w:r>
          </w:p>
          <w:p w14:paraId="7F08B0EB" w14:textId="77777777" w:rsidR="00FC23ED" w:rsidRPr="00751A8E" w:rsidRDefault="00FC23ED" w:rsidP="00FC23ED">
            <w:pPr>
              <w:pStyle w:val="Prrafodelista"/>
              <w:numPr>
                <w:ilvl w:val="4"/>
                <w:numId w:val="21"/>
              </w:numPr>
              <w:ind w:left="1080"/>
              <w:rPr>
                <w:rFonts w:ascii="Arial" w:hAnsi="Arial" w:cs="Arial"/>
              </w:rPr>
            </w:pPr>
            <w:r w:rsidRPr="00751A8E">
              <w:rPr>
                <w:rFonts w:ascii="Arial" w:hAnsi="Arial" w:cs="Arial"/>
              </w:rPr>
              <w:t>El proveedor del servicio realizará la capacitación, de manera virtual, de los operadores del sistema.</w:t>
            </w:r>
          </w:p>
          <w:p w14:paraId="1752FA7E" w14:textId="77777777" w:rsidR="00810F79" w:rsidRPr="00751A8E" w:rsidRDefault="00FC23ED" w:rsidP="00FC23ED">
            <w:pPr>
              <w:pStyle w:val="Prrafodelista"/>
              <w:ind w:left="1080"/>
              <w:contextualSpacing/>
              <w:jc w:val="both"/>
              <w:rPr>
                <w:rFonts w:ascii="Arial" w:hAnsi="Arial" w:cs="Arial"/>
              </w:rPr>
            </w:pPr>
            <w:r w:rsidRPr="00751A8E">
              <w:rPr>
                <w:rFonts w:ascii="Arial" w:hAnsi="Arial" w:cs="Arial"/>
              </w:rPr>
              <w:t>El proveedor del servicio proporcionará el manual de usuario del sistema en formato PDF.</w:t>
            </w:r>
          </w:p>
          <w:p w14:paraId="3B30D21B" w14:textId="0B782C5F" w:rsidR="00FC23ED" w:rsidRPr="00742380" w:rsidRDefault="00FC23ED" w:rsidP="00FC23ED">
            <w:pPr>
              <w:pStyle w:val="Prrafodelista"/>
              <w:ind w:left="1080"/>
              <w:contextualSpacing/>
              <w:jc w:val="both"/>
              <w:rPr>
                <w:rFonts w:ascii="Bookman Old Style" w:hAnsi="Bookman Old Style" w:cs="Arial"/>
                <w:lang w:val="es-BO"/>
              </w:rPr>
            </w:pPr>
          </w:p>
        </w:tc>
      </w:tr>
      <w:tr w:rsidR="00810F79" w:rsidRPr="00742380" w14:paraId="20733C1C" w14:textId="77777777" w:rsidTr="008D5849">
        <w:trPr>
          <w:trHeight w:val="400"/>
        </w:trPr>
        <w:tc>
          <w:tcPr>
            <w:tcW w:w="1005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229A9C84" w14:textId="77777777" w:rsidR="00810F79" w:rsidRPr="00742380" w:rsidRDefault="00810F79" w:rsidP="008D5849">
            <w:pPr>
              <w:pStyle w:val="Textoindependiente3"/>
              <w:numPr>
                <w:ilvl w:val="0"/>
                <w:numId w:val="3"/>
              </w:numPr>
              <w:ind w:left="284" w:hanging="284"/>
              <w:rPr>
                <w:rFonts w:ascii="Bookman Old Style" w:hAnsi="Bookman Old Style"/>
                <w:b/>
                <w:bCs/>
                <w:sz w:val="20"/>
              </w:rPr>
            </w:pPr>
            <w:r w:rsidRPr="00742380">
              <w:rPr>
                <w:rFonts w:ascii="Bookman Old Style" w:hAnsi="Bookman Old Style"/>
                <w:b/>
                <w:bCs/>
                <w:sz w:val="20"/>
              </w:rPr>
              <w:t xml:space="preserve">CONDICIONES COMPLEMENTARIAS </w:t>
            </w:r>
          </w:p>
        </w:tc>
      </w:tr>
      <w:tr w:rsidR="00FC23ED" w:rsidRPr="00742380" w14:paraId="31F45057" w14:textId="77777777" w:rsidTr="00FC23ED">
        <w:trPr>
          <w:trHeight w:val="400"/>
        </w:trPr>
        <w:tc>
          <w:tcPr>
            <w:tcW w:w="100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D7F2B" w14:textId="2EB2394C" w:rsidR="00FC23ED" w:rsidRPr="00742380" w:rsidRDefault="00FC23ED" w:rsidP="00FC23ED">
            <w:pPr>
              <w:pStyle w:val="Textoindependiente3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INFRAESTRUCTURA</w:t>
            </w:r>
          </w:p>
        </w:tc>
      </w:tr>
      <w:tr w:rsidR="00FC23ED" w:rsidRPr="00FC23ED" w14:paraId="2BABA265" w14:textId="77777777" w:rsidTr="008A7A46">
        <w:trPr>
          <w:trHeight w:val="70"/>
        </w:trPr>
        <w:tc>
          <w:tcPr>
            <w:tcW w:w="10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1D7B" w14:textId="64BD6375" w:rsidR="00FC23ED" w:rsidRPr="008A7A46" w:rsidRDefault="00FC23ED" w:rsidP="00FC23ED">
            <w:pPr>
              <w:pStyle w:val="Textoindependiente3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El Órgano Electoral Plurinacional pondrá a disposición un equipo servidor, los equipos clientes en cada uno de los TED y en el TSE, el servicio de internet y los recursos de red requeridos para la instalación y funcionamiento del sistema, en el marco de sus políticas de seguridad.</w:t>
            </w:r>
          </w:p>
        </w:tc>
      </w:tr>
      <w:tr w:rsidR="00FC23ED" w:rsidRPr="00FC23ED" w14:paraId="4B29F3AD" w14:textId="77777777" w:rsidTr="00FC23ED">
        <w:trPr>
          <w:trHeight w:val="400"/>
        </w:trPr>
        <w:tc>
          <w:tcPr>
            <w:tcW w:w="100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3CFDB" w14:textId="217828E1" w:rsidR="00FC23ED" w:rsidRPr="00742380" w:rsidRDefault="00FC23ED" w:rsidP="00FC23ED">
            <w:pPr>
              <w:pStyle w:val="Textoindependiente3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PROGRAMAS, HERRAMIENTAS Y COMPLEMENTOS</w:t>
            </w:r>
          </w:p>
        </w:tc>
      </w:tr>
      <w:tr w:rsidR="00FC23ED" w:rsidRPr="00FC23ED" w14:paraId="656BBA3F" w14:textId="77777777" w:rsidTr="00FC23ED">
        <w:trPr>
          <w:trHeight w:val="663"/>
        </w:trPr>
        <w:tc>
          <w:tcPr>
            <w:tcW w:w="10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6C5B6" w14:textId="3F2F0ADF" w:rsidR="00FC23ED" w:rsidRPr="00FC23ED" w:rsidRDefault="00FC23ED" w:rsidP="00FC23ED">
            <w:pPr>
              <w:pStyle w:val="Textoindependiente3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lastRenderedPageBreak/>
              <w:t>El proveedor del servicio pondrá a disposición los programas, herramientas o complementos necesarios para la instalación y funcionamiento del sistema, siendo las licencias requeridas de su completa responsabilidad.</w:t>
            </w:r>
          </w:p>
        </w:tc>
      </w:tr>
      <w:tr w:rsidR="00FC23ED" w:rsidRPr="00742380" w14:paraId="32EDA8AE" w14:textId="77777777" w:rsidTr="008D5849">
        <w:trPr>
          <w:trHeight w:val="493"/>
        </w:trPr>
        <w:tc>
          <w:tcPr>
            <w:tcW w:w="1005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D4E8A3" w14:textId="77777777" w:rsidR="00FC23ED" w:rsidRPr="00742380" w:rsidRDefault="00FC23ED" w:rsidP="00FC23ED">
            <w:pPr>
              <w:pStyle w:val="Textoindependiente3"/>
              <w:numPr>
                <w:ilvl w:val="0"/>
                <w:numId w:val="5"/>
              </w:numPr>
              <w:rPr>
                <w:rFonts w:ascii="Bookman Old Style" w:eastAsia="Calibri" w:hAnsi="Bookman Old Style"/>
                <w:sz w:val="20"/>
                <w:lang w:eastAsia="en-US"/>
              </w:rPr>
            </w:pPr>
            <w:r w:rsidRPr="00742380">
              <w:rPr>
                <w:rFonts w:ascii="Bookman Old Style" w:hAnsi="Bookman Old Style"/>
                <w:b/>
                <w:bCs/>
                <w:sz w:val="20"/>
                <w:lang w:val="es-BO"/>
              </w:rPr>
              <w:t xml:space="preserve"> PRESENTACIÓN DE PROPUESTA</w:t>
            </w:r>
          </w:p>
        </w:tc>
      </w:tr>
      <w:tr w:rsidR="00FC23ED" w:rsidRPr="00742380" w14:paraId="2BE86E7B" w14:textId="77777777" w:rsidTr="008D5849">
        <w:trPr>
          <w:trHeight w:val="433"/>
        </w:trPr>
        <w:tc>
          <w:tcPr>
            <w:tcW w:w="100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572E0C" w14:textId="77777777" w:rsidR="00FC23ED" w:rsidRDefault="00FC23ED" w:rsidP="00FC23ED">
            <w:pPr>
              <w:pStyle w:val="Textoindependiente3"/>
              <w:rPr>
                <w:rFonts w:ascii="Bookman Old Style" w:hAnsi="Bookman Old Style"/>
                <w:bCs/>
                <w:sz w:val="20"/>
                <w:lang w:val="es-BO"/>
              </w:rPr>
            </w:pPr>
          </w:p>
          <w:p w14:paraId="626CF19A" w14:textId="601A3DA2" w:rsidR="00FC23ED" w:rsidRPr="00751A8E" w:rsidRDefault="00FC23ED" w:rsidP="00FC23ED">
            <w:pPr>
              <w:pStyle w:val="Textoindependiente3"/>
              <w:rPr>
                <w:bCs/>
                <w:sz w:val="20"/>
                <w:lang w:val="es-BO"/>
              </w:rPr>
            </w:pPr>
            <w:r w:rsidRPr="00751A8E">
              <w:rPr>
                <w:bCs/>
                <w:sz w:val="20"/>
                <w:lang w:val="es-BO"/>
              </w:rPr>
              <w:t>La propuesta deberá ser entrega</w:t>
            </w:r>
            <w:r w:rsidR="005E51D9">
              <w:rPr>
                <w:bCs/>
                <w:sz w:val="20"/>
                <w:lang w:val="es-BO"/>
              </w:rPr>
              <w:t>do</w:t>
            </w:r>
            <w:r w:rsidRPr="00751A8E">
              <w:rPr>
                <w:bCs/>
                <w:sz w:val="20"/>
                <w:lang w:val="es-BO"/>
              </w:rPr>
              <w:t xml:space="preserve"> en sobre cerrado, de acuerdo al siguiente formato:</w:t>
            </w:r>
          </w:p>
          <w:p w14:paraId="087D8B59" w14:textId="77777777" w:rsidR="00FC23ED" w:rsidRPr="00751A8E" w:rsidRDefault="00FC23ED" w:rsidP="00FC23ED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751A8E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BEFD13C" wp14:editId="4A3ADAAA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55880</wp:posOffset>
                      </wp:positionV>
                      <wp:extent cx="3930015" cy="734695"/>
                      <wp:effectExtent l="0" t="0" r="13335" b="2730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7348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AF04D" id="Rectángulo 3" o:spid="_x0000_s1026" style="position:absolute;margin-left:88.9pt;margin-top:4.4pt;width:309.45pt;height:57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" filled="f" strokecolor="#243f60 [1604]" strokeweight="2pt"/>
                  </w:pict>
                </mc:Fallback>
              </mc:AlternateContent>
            </w:r>
          </w:p>
          <w:p w14:paraId="5357861C" w14:textId="77777777" w:rsidR="00FC23ED" w:rsidRPr="00751A8E" w:rsidRDefault="00FC23ED" w:rsidP="00FC23ED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751A8E">
              <w:rPr>
                <w:b/>
                <w:bCs/>
                <w:sz w:val="20"/>
                <w:lang w:val="es-BO"/>
              </w:rPr>
              <w:t>OBJETO DE CONTRATACIÓN:</w:t>
            </w:r>
          </w:p>
          <w:p w14:paraId="5FC0C386" w14:textId="77777777" w:rsidR="00FC23ED" w:rsidRPr="00751A8E" w:rsidRDefault="00FC23ED" w:rsidP="00FC23ED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751A8E">
              <w:rPr>
                <w:b/>
                <w:bCs/>
                <w:sz w:val="20"/>
                <w:lang w:val="es-BO"/>
              </w:rPr>
              <w:t>NOMBRE DEL PROVEEDOR:</w:t>
            </w:r>
          </w:p>
          <w:p w14:paraId="0119E657" w14:textId="77777777" w:rsidR="00FC23ED" w:rsidRPr="00751A8E" w:rsidRDefault="00FC23ED" w:rsidP="00FC23ED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751A8E">
              <w:rPr>
                <w:b/>
                <w:bCs/>
                <w:sz w:val="20"/>
                <w:lang w:val="es-BO"/>
              </w:rPr>
              <w:t>TELEFÓNO:</w:t>
            </w:r>
          </w:p>
          <w:p w14:paraId="59A65858" w14:textId="77777777" w:rsidR="00FC23ED" w:rsidRPr="00751A8E" w:rsidRDefault="00FC23ED" w:rsidP="00FC23ED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751A8E">
              <w:rPr>
                <w:b/>
                <w:bCs/>
                <w:sz w:val="20"/>
                <w:lang w:val="es-BO"/>
              </w:rPr>
              <w:t>FECHA:</w:t>
            </w:r>
          </w:p>
          <w:p w14:paraId="5D97FF69" w14:textId="77777777" w:rsidR="00FC23ED" w:rsidRPr="00751A8E" w:rsidRDefault="00FC23ED" w:rsidP="00FC23E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14:paraId="2B2E437A" w14:textId="77777777" w:rsidR="00FC23ED" w:rsidRPr="00751A8E" w:rsidRDefault="00FC23ED" w:rsidP="00FC23ED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751A8E">
              <w:rPr>
                <w:b/>
                <w:bCs/>
                <w:sz w:val="20"/>
                <w:lang w:val="es-BO"/>
              </w:rPr>
              <w:t>El proponente deberá adjuntar a su propuesta la siguiente documentación en fotocopia simple:</w:t>
            </w:r>
          </w:p>
          <w:p w14:paraId="28DF5B1D" w14:textId="77777777" w:rsidR="00FC23ED" w:rsidRPr="00751A8E" w:rsidRDefault="00FC23ED" w:rsidP="00FC23E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14:paraId="1BB73F6E" w14:textId="77777777" w:rsidR="00FC23ED" w:rsidRPr="00751A8E" w:rsidRDefault="00FC23ED" w:rsidP="00FC23ED">
            <w:pPr>
              <w:pStyle w:val="Textoindependiente3"/>
              <w:numPr>
                <w:ilvl w:val="0"/>
                <w:numId w:val="16"/>
              </w:numPr>
              <w:rPr>
                <w:bCs/>
                <w:sz w:val="20"/>
                <w:lang w:val="es-BO"/>
              </w:rPr>
            </w:pPr>
            <w:r w:rsidRPr="00751A8E">
              <w:rPr>
                <w:bCs/>
                <w:sz w:val="20"/>
                <w:lang w:val="es-BO"/>
              </w:rPr>
              <w:t xml:space="preserve">Número de Identificación Tributaria </w:t>
            </w:r>
          </w:p>
          <w:p w14:paraId="600914E8" w14:textId="77777777" w:rsidR="00FC23ED" w:rsidRPr="00751A8E" w:rsidRDefault="00FC23ED" w:rsidP="00FC23ED">
            <w:pPr>
              <w:pStyle w:val="Textoindependiente3"/>
              <w:numPr>
                <w:ilvl w:val="0"/>
                <w:numId w:val="16"/>
              </w:numPr>
              <w:rPr>
                <w:bCs/>
                <w:sz w:val="20"/>
                <w:lang w:val="es-BO"/>
              </w:rPr>
            </w:pPr>
            <w:r w:rsidRPr="00751A8E">
              <w:rPr>
                <w:bCs/>
                <w:sz w:val="20"/>
                <w:lang w:val="es-BO"/>
              </w:rPr>
              <w:t>Certificación electrónica del NIT (Estado activo - habilitado)</w:t>
            </w:r>
          </w:p>
          <w:p w14:paraId="57740017" w14:textId="77777777" w:rsidR="00FC23ED" w:rsidRPr="00751A8E" w:rsidRDefault="00FC23ED" w:rsidP="00FC23ED">
            <w:pPr>
              <w:pStyle w:val="Textoindependiente3"/>
              <w:numPr>
                <w:ilvl w:val="0"/>
                <w:numId w:val="16"/>
              </w:numPr>
              <w:rPr>
                <w:rFonts w:eastAsia="Calibri"/>
                <w:sz w:val="20"/>
                <w:lang w:eastAsia="en-US"/>
              </w:rPr>
            </w:pPr>
            <w:r w:rsidRPr="00751A8E">
              <w:rPr>
                <w:bCs/>
                <w:sz w:val="20"/>
                <w:lang w:val="es-BO"/>
              </w:rPr>
              <w:t>Registro FUNDEMPRESA (vigente)</w:t>
            </w:r>
          </w:p>
          <w:p w14:paraId="18345D35" w14:textId="77777777" w:rsidR="00FC23ED" w:rsidRPr="00742380" w:rsidRDefault="00FC23ED" w:rsidP="00FC23ED">
            <w:pPr>
              <w:pStyle w:val="Textoindependiente3"/>
              <w:rPr>
                <w:rFonts w:ascii="Bookman Old Style" w:eastAsia="Calibri" w:hAnsi="Bookman Old Style"/>
                <w:sz w:val="20"/>
                <w:lang w:eastAsia="en-US"/>
              </w:rPr>
            </w:pPr>
          </w:p>
        </w:tc>
      </w:tr>
      <w:tr w:rsidR="00751A8E" w:rsidRPr="00742380" w14:paraId="656DD49B" w14:textId="77777777" w:rsidTr="00751A8E">
        <w:trPr>
          <w:trHeight w:val="433"/>
        </w:trPr>
        <w:tc>
          <w:tcPr>
            <w:tcW w:w="1005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F0F181" w14:textId="0B18B590" w:rsidR="00751A8E" w:rsidRDefault="00751A8E" w:rsidP="00751A8E">
            <w:pPr>
              <w:pStyle w:val="Textoindependiente3"/>
              <w:numPr>
                <w:ilvl w:val="0"/>
                <w:numId w:val="5"/>
              </w:numPr>
              <w:rPr>
                <w:rFonts w:ascii="Bookman Old Style" w:hAnsi="Bookman Old Style"/>
                <w:bCs/>
                <w:sz w:val="20"/>
                <w:lang w:val="es-BO"/>
              </w:rPr>
            </w:pPr>
            <w:r w:rsidRPr="009221B6">
              <w:rPr>
                <w:b/>
                <w:bCs/>
                <w:color w:val="FFFFFF"/>
                <w:sz w:val="20"/>
              </w:rPr>
              <w:t xml:space="preserve">EXPERIENCIA DEL PROVEEDOR </w:t>
            </w:r>
          </w:p>
        </w:tc>
      </w:tr>
      <w:tr w:rsidR="00751A8E" w:rsidRPr="00742380" w14:paraId="66B42044" w14:textId="77777777" w:rsidTr="00751A8E">
        <w:trPr>
          <w:trHeight w:val="433"/>
        </w:trPr>
        <w:tc>
          <w:tcPr>
            <w:tcW w:w="100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C23BE" w14:textId="4E80C8A4" w:rsidR="00751A8E" w:rsidRDefault="00751A8E" w:rsidP="00751A8E">
            <w:pPr>
              <w:pStyle w:val="Textoindependiente3"/>
              <w:rPr>
                <w:rFonts w:ascii="Bookman Old Style" w:hAnsi="Bookman Old Style"/>
                <w:bCs/>
                <w:sz w:val="20"/>
                <w:lang w:val="es-BO"/>
              </w:rPr>
            </w:pPr>
            <w:r w:rsidRPr="00736751">
              <w:rPr>
                <w:b/>
                <w:bCs/>
                <w:sz w:val="20"/>
              </w:rPr>
              <w:t>EXPERIENCIA DE LA EMPRESA</w:t>
            </w:r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751A8E" w:rsidRPr="00751A8E" w14:paraId="774FF4BE" w14:textId="77777777" w:rsidTr="008D5849">
        <w:trPr>
          <w:trHeight w:val="433"/>
        </w:trPr>
        <w:tc>
          <w:tcPr>
            <w:tcW w:w="100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9E151E" w14:textId="77777777" w:rsidR="00751A8E" w:rsidRPr="00736751" w:rsidRDefault="00751A8E" w:rsidP="00751A8E">
            <w:pPr>
              <w:rPr>
                <w:rFonts w:ascii="Arial" w:hAnsi="Arial" w:cs="Arial"/>
                <w:lang w:val="es-ES"/>
              </w:rPr>
            </w:pPr>
          </w:p>
          <w:p w14:paraId="34066986" w14:textId="6AF4305D" w:rsidR="00751A8E" w:rsidRDefault="00751A8E" w:rsidP="00751A8E">
            <w:pPr>
              <w:pStyle w:val="Textoindependiente3"/>
              <w:rPr>
                <w:sz w:val="20"/>
                <w:lang w:val="es-BO"/>
              </w:rPr>
            </w:pPr>
            <w:r w:rsidRPr="00751A8E">
              <w:rPr>
                <w:sz w:val="20"/>
              </w:rPr>
              <w:t xml:space="preserve">El proveedor del servicio deberá </w:t>
            </w:r>
            <w:r w:rsidR="00D72700">
              <w:rPr>
                <w:sz w:val="20"/>
              </w:rPr>
              <w:t>contar con experiencia mínima de un trabajo de servicio en monitoreo</w:t>
            </w:r>
            <w:r w:rsidR="00D110EA">
              <w:rPr>
                <w:sz w:val="20"/>
              </w:rPr>
              <w:t xml:space="preserve"> u otro similar</w:t>
            </w:r>
            <w:r w:rsidR="00D72700">
              <w:rPr>
                <w:sz w:val="20"/>
              </w:rPr>
              <w:t xml:space="preserve"> en los últimos dos años</w:t>
            </w:r>
            <w:r w:rsidRPr="00751A8E">
              <w:rPr>
                <w:sz w:val="20"/>
              </w:rPr>
              <w:t xml:space="preserve">, </w:t>
            </w:r>
            <w:r w:rsidR="00D72700">
              <w:rPr>
                <w:sz w:val="20"/>
              </w:rPr>
              <w:t xml:space="preserve">la </w:t>
            </w:r>
            <w:r w:rsidRPr="00751A8E">
              <w:rPr>
                <w:sz w:val="20"/>
                <w:lang w:val="es-BO"/>
              </w:rPr>
              <w:t xml:space="preserve">misma podrá ser </w:t>
            </w:r>
            <w:r w:rsidR="008A7A46">
              <w:rPr>
                <w:sz w:val="20"/>
                <w:lang w:val="es-BO"/>
              </w:rPr>
              <w:t>re</w:t>
            </w:r>
            <w:r w:rsidR="00D72700">
              <w:rPr>
                <w:sz w:val="20"/>
                <w:lang w:val="es-BO"/>
              </w:rPr>
              <w:t>spaldada con certificad</w:t>
            </w:r>
            <w:r w:rsidR="00D110EA">
              <w:rPr>
                <w:sz w:val="20"/>
                <w:lang w:val="es-BO"/>
              </w:rPr>
              <w:t>os de cumplimiento de contrato o</w:t>
            </w:r>
            <w:r w:rsidR="00D72700">
              <w:rPr>
                <w:sz w:val="20"/>
                <w:lang w:val="es-BO"/>
              </w:rPr>
              <w:t xml:space="preserve"> ordenes de servicio o </w:t>
            </w:r>
            <w:r w:rsidRPr="00751A8E">
              <w:rPr>
                <w:sz w:val="20"/>
                <w:lang w:val="es-BO"/>
              </w:rPr>
              <w:t>contratos</w:t>
            </w:r>
            <w:r w:rsidR="00D72700">
              <w:rPr>
                <w:sz w:val="20"/>
                <w:lang w:val="es-BO"/>
              </w:rPr>
              <w:t xml:space="preserve"> o</w:t>
            </w:r>
            <w:r w:rsidRPr="00751A8E">
              <w:rPr>
                <w:sz w:val="20"/>
                <w:lang w:val="es-BO"/>
              </w:rPr>
              <w:t xml:space="preserve"> facturas u otros documentos.</w:t>
            </w:r>
          </w:p>
          <w:p w14:paraId="3888E899" w14:textId="749CFC0F" w:rsidR="00751A8E" w:rsidRPr="00751A8E" w:rsidRDefault="00751A8E" w:rsidP="00751A8E">
            <w:pPr>
              <w:pStyle w:val="Textoindependiente3"/>
              <w:rPr>
                <w:rFonts w:ascii="Bookman Old Style" w:hAnsi="Bookman Old Style"/>
                <w:bCs/>
                <w:sz w:val="20"/>
                <w:lang w:val="es-BO"/>
              </w:rPr>
            </w:pPr>
          </w:p>
        </w:tc>
      </w:tr>
      <w:tr w:rsidR="00FC23ED" w:rsidRPr="00742380" w14:paraId="3C9AE69B" w14:textId="77777777" w:rsidTr="008D5849">
        <w:trPr>
          <w:trHeight w:val="473"/>
        </w:trPr>
        <w:tc>
          <w:tcPr>
            <w:tcW w:w="1005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E32F51" w14:textId="77777777" w:rsidR="00FC23ED" w:rsidRPr="00742380" w:rsidRDefault="00FC23ED" w:rsidP="00FC23E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Bookman Old Style" w:hAnsi="Bookman Old Style" w:cs="Arial"/>
                <w:lang w:val="es-BO"/>
              </w:rPr>
            </w:pPr>
            <w:r w:rsidRPr="00742380">
              <w:rPr>
                <w:rFonts w:ascii="Bookman Old Style" w:hAnsi="Bookman Old Style" w:cs="Arial"/>
                <w:b/>
                <w:bCs/>
                <w:lang w:val="es-BO"/>
              </w:rPr>
              <w:t xml:space="preserve"> CONDICIONES ADMINISTRATIVAS</w:t>
            </w:r>
          </w:p>
        </w:tc>
      </w:tr>
      <w:tr w:rsidR="00FC23ED" w:rsidRPr="00742380" w14:paraId="5C648B0E" w14:textId="77777777" w:rsidTr="008D5849">
        <w:trPr>
          <w:trHeight w:val="561"/>
        </w:trPr>
        <w:tc>
          <w:tcPr>
            <w:tcW w:w="10057" w:type="dxa"/>
            <w:shd w:val="clear" w:color="auto" w:fill="D0CECE"/>
            <w:vAlign w:val="center"/>
          </w:tcPr>
          <w:p w14:paraId="1D8D9A48" w14:textId="77777777" w:rsidR="00FC23ED" w:rsidRPr="00742380" w:rsidRDefault="00FC23ED" w:rsidP="00FC23ED">
            <w:pPr>
              <w:pStyle w:val="Textoindependiente3"/>
              <w:numPr>
                <w:ilvl w:val="0"/>
                <w:numId w:val="45"/>
              </w:numPr>
              <w:jc w:val="left"/>
              <w:rPr>
                <w:rFonts w:ascii="Bookman Old Style" w:hAnsi="Bookman Old Style"/>
                <w:b/>
                <w:bCs/>
                <w:sz w:val="20"/>
              </w:rPr>
            </w:pPr>
            <w:r w:rsidRPr="00742380">
              <w:rPr>
                <w:rFonts w:ascii="Bookman Old Style" w:hAnsi="Bookman Old Style"/>
                <w:b/>
                <w:bCs/>
                <w:sz w:val="20"/>
              </w:rPr>
              <w:t>FORMALIZACIÓN:</w:t>
            </w:r>
          </w:p>
        </w:tc>
      </w:tr>
      <w:tr w:rsidR="00FC23ED" w:rsidRPr="002C0FA2" w14:paraId="23A4310E" w14:textId="77777777" w:rsidTr="008D5849">
        <w:trPr>
          <w:trHeight w:val="558"/>
        </w:trPr>
        <w:tc>
          <w:tcPr>
            <w:tcW w:w="10057" w:type="dxa"/>
            <w:shd w:val="clear" w:color="auto" w:fill="auto"/>
            <w:vAlign w:val="center"/>
          </w:tcPr>
          <w:p w14:paraId="18377C31" w14:textId="3CE4D6B5" w:rsidR="00FC23ED" w:rsidRPr="00D72700" w:rsidRDefault="00FC23ED" w:rsidP="00FC23ED">
            <w:pPr>
              <w:pStyle w:val="Sinespaciad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72700">
              <w:rPr>
                <w:rFonts w:ascii="Arial" w:hAnsi="Arial" w:cs="Arial"/>
                <w:bCs/>
                <w:sz w:val="20"/>
                <w:szCs w:val="20"/>
              </w:rPr>
              <w:t xml:space="preserve">La contratación se formalizará mediante la suscripción de ORDEN DE SERVICIO. </w:t>
            </w:r>
          </w:p>
        </w:tc>
      </w:tr>
      <w:tr w:rsidR="00FC23ED" w:rsidRPr="00FC23ED" w14:paraId="66718902" w14:textId="77777777" w:rsidTr="008D5849">
        <w:trPr>
          <w:trHeight w:val="403"/>
        </w:trPr>
        <w:tc>
          <w:tcPr>
            <w:tcW w:w="10057" w:type="dxa"/>
            <w:shd w:val="clear" w:color="auto" w:fill="D0CECE"/>
            <w:vAlign w:val="center"/>
          </w:tcPr>
          <w:p w14:paraId="6CFAA3F9" w14:textId="225E2EF8" w:rsidR="00FC23ED" w:rsidRPr="00742380" w:rsidRDefault="00FC23ED" w:rsidP="00FC23ED">
            <w:pPr>
              <w:pStyle w:val="Textoindependiente3"/>
              <w:numPr>
                <w:ilvl w:val="0"/>
                <w:numId w:val="45"/>
              </w:numPr>
              <w:rPr>
                <w:rFonts w:ascii="Bookman Old Style" w:hAnsi="Bookman Old Style"/>
                <w:b/>
                <w:bCs/>
                <w:sz w:val="20"/>
              </w:rPr>
            </w:pPr>
            <w:r w:rsidRPr="00736756">
              <w:rPr>
                <w:b/>
                <w:bCs/>
                <w:sz w:val="20"/>
              </w:rPr>
              <w:t>LUGAR DE PRESTACIÓN DEL SERVICIO</w:t>
            </w:r>
          </w:p>
        </w:tc>
      </w:tr>
      <w:tr w:rsidR="00FC23ED" w:rsidRPr="002C0FA2" w14:paraId="5B2D2777" w14:textId="77777777" w:rsidTr="00D110EA">
        <w:trPr>
          <w:trHeight w:val="852"/>
        </w:trPr>
        <w:tc>
          <w:tcPr>
            <w:tcW w:w="10057" w:type="dxa"/>
            <w:shd w:val="clear" w:color="auto" w:fill="auto"/>
            <w:vAlign w:val="center"/>
          </w:tcPr>
          <w:p w14:paraId="2CA1EDD1" w14:textId="5DFC5AF3" w:rsidR="00FC23ED" w:rsidRPr="00742380" w:rsidRDefault="00FC23ED" w:rsidP="00FC23ED">
            <w:pPr>
              <w:pStyle w:val="Textoindependiente3"/>
              <w:rPr>
                <w:rFonts w:ascii="Bookman Old Style" w:hAnsi="Bookman Old Style"/>
                <w:sz w:val="20"/>
              </w:rPr>
            </w:pPr>
            <w:r w:rsidRPr="00C2480D">
              <w:rPr>
                <w:bCs/>
                <w:sz w:val="20"/>
              </w:rPr>
              <w:t xml:space="preserve">El proveedor realizará </w:t>
            </w:r>
            <w:r>
              <w:rPr>
                <w:bCs/>
                <w:sz w:val="20"/>
              </w:rPr>
              <w:t>la instalación del sistema en el Tribunal Supremo Electoral, ciudad de La Paz, y la capacitación del uso del sistema para los 9 departamentos, así como la asistencia técnica o soporte técnico requerido</w:t>
            </w:r>
          </w:p>
        </w:tc>
      </w:tr>
      <w:tr w:rsidR="00FC23ED" w:rsidRPr="00742380" w14:paraId="0CD48385" w14:textId="77777777" w:rsidTr="00D110EA">
        <w:trPr>
          <w:trHeight w:val="426"/>
        </w:trPr>
        <w:tc>
          <w:tcPr>
            <w:tcW w:w="10057" w:type="dxa"/>
            <w:shd w:val="clear" w:color="auto" w:fill="D0CECE"/>
            <w:vAlign w:val="center"/>
          </w:tcPr>
          <w:p w14:paraId="6E4FF770" w14:textId="170F9049" w:rsidR="00FC23ED" w:rsidRPr="00742380" w:rsidRDefault="00FC23ED" w:rsidP="00FC23ED">
            <w:pPr>
              <w:pStyle w:val="Textoindependiente3"/>
              <w:numPr>
                <w:ilvl w:val="0"/>
                <w:numId w:val="45"/>
              </w:numPr>
              <w:rPr>
                <w:rFonts w:ascii="Bookman Old Style" w:hAnsi="Bookman Old Style"/>
                <w:b/>
                <w:bCs/>
                <w:sz w:val="20"/>
              </w:rPr>
            </w:pPr>
            <w:r w:rsidRPr="00736756">
              <w:rPr>
                <w:b/>
                <w:bCs/>
                <w:sz w:val="20"/>
              </w:rPr>
              <w:t>PLAZO DEL SERVICIO</w:t>
            </w:r>
          </w:p>
        </w:tc>
      </w:tr>
      <w:tr w:rsidR="00FC23ED" w:rsidRPr="002C0FA2" w14:paraId="4E5931D2" w14:textId="77777777" w:rsidTr="00FB7F32">
        <w:trPr>
          <w:trHeight w:val="404"/>
        </w:trPr>
        <w:tc>
          <w:tcPr>
            <w:tcW w:w="10057" w:type="dxa"/>
            <w:shd w:val="clear" w:color="auto" w:fill="FFFFFF"/>
            <w:vAlign w:val="center"/>
          </w:tcPr>
          <w:p w14:paraId="3BDFA010" w14:textId="77777777" w:rsidR="00FC23ED" w:rsidRDefault="00FC23ED" w:rsidP="00FC23ED">
            <w:pPr>
              <w:pStyle w:val="Textoindependiente3"/>
              <w:rPr>
                <w:bCs/>
                <w:iCs/>
                <w:sz w:val="20"/>
              </w:rPr>
            </w:pPr>
          </w:p>
          <w:p w14:paraId="0D0C5803" w14:textId="71491134" w:rsidR="00FC23ED" w:rsidRDefault="006D1D8A" w:rsidP="00FC23ED">
            <w:pPr>
              <w:pStyle w:val="Textoindependiente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El servicio será a</w:t>
            </w:r>
            <w:r w:rsidR="007062E1">
              <w:rPr>
                <w:bCs/>
                <w:iCs/>
                <w:sz w:val="20"/>
              </w:rPr>
              <w:t xml:space="preserve"> partir del 21 de febrero hasta el 12 de marzo del 2021.</w:t>
            </w:r>
          </w:p>
          <w:p w14:paraId="01D11D2E" w14:textId="08158017" w:rsidR="00FC23ED" w:rsidRPr="00742380" w:rsidRDefault="00FC23ED" w:rsidP="00FC23ED">
            <w:pPr>
              <w:pStyle w:val="Textoindependiente3"/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FC23ED" w:rsidRPr="00742380" w14:paraId="7B2FF64A" w14:textId="77777777" w:rsidTr="008D5849">
        <w:trPr>
          <w:trHeight w:val="445"/>
        </w:trPr>
        <w:tc>
          <w:tcPr>
            <w:tcW w:w="10057" w:type="dxa"/>
            <w:shd w:val="clear" w:color="auto" w:fill="D0CECE"/>
            <w:vAlign w:val="center"/>
          </w:tcPr>
          <w:p w14:paraId="4ED92367" w14:textId="77777777" w:rsidR="00FC23ED" w:rsidRPr="00742380" w:rsidRDefault="00FC23ED" w:rsidP="00FC23ED">
            <w:pPr>
              <w:pStyle w:val="Textoindependiente3"/>
              <w:numPr>
                <w:ilvl w:val="0"/>
                <w:numId w:val="45"/>
              </w:numPr>
              <w:rPr>
                <w:rFonts w:ascii="Bookman Old Style" w:hAnsi="Bookman Old Style"/>
                <w:b/>
                <w:bCs/>
                <w:sz w:val="20"/>
              </w:rPr>
            </w:pPr>
            <w:r w:rsidRPr="00742380">
              <w:rPr>
                <w:rFonts w:ascii="Bookman Old Style" w:hAnsi="Bookman Old Style"/>
                <w:b/>
                <w:bCs/>
                <w:sz w:val="20"/>
                <w:lang w:val="es-BO"/>
              </w:rPr>
              <w:t>INCUMPLIMIENTO:</w:t>
            </w:r>
          </w:p>
        </w:tc>
      </w:tr>
      <w:tr w:rsidR="00FC23ED" w:rsidRPr="002C0FA2" w14:paraId="58987844" w14:textId="77777777" w:rsidTr="008D5849">
        <w:trPr>
          <w:trHeight w:val="1712"/>
        </w:trPr>
        <w:tc>
          <w:tcPr>
            <w:tcW w:w="10057" w:type="dxa"/>
            <w:shd w:val="clear" w:color="auto" w:fill="auto"/>
            <w:vAlign w:val="center"/>
          </w:tcPr>
          <w:p w14:paraId="7A0866D8" w14:textId="59994554" w:rsidR="00FC23ED" w:rsidRPr="00751A8E" w:rsidRDefault="00FC23ED" w:rsidP="00FC23ED">
            <w:pPr>
              <w:pStyle w:val="Textoindependiente3"/>
              <w:rPr>
                <w:bCs/>
                <w:iCs/>
                <w:sz w:val="20"/>
              </w:rPr>
            </w:pPr>
            <w:r w:rsidRPr="00751A8E">
              <w:rPr>
                <w:bCs/>
                <w:iCs/>
                <w:sz w:val="20"/>
              </w:rPr>
              <w:t>En caso de incumplimiento en el plazo de entrega se deja</w:t>
            </w:r>
            <w:r w:rsidR="005E51D9">
              <w:rPr>
                <w:bCs/>
                <w:iCs/>
                <w:sz w:val="20"/>
              </w:rPr>
              <w:t>rá sin efecto la Orden de Servicio</w:t>
            </w:r>
            <w:r w:rsidRPr="00751A8E">
              <w:rPr>
                <w:bCs/>
                <w:iCs/>
                <w:sz w:val="20"/>
              </w:rPr>
              <w:t xml:space="preserve"> y si el monto es mayor a Bs20.000,00 s</w:t>
            </w:r>
            <w:bookmarkStart w:id="0" w:name="_GoBack"/>
            <w:bookmarkEnd w:id="0"/>
            <w:r w:rsidRPr="00751A8E">
              <w:rPr>
                <w:bCs/>
                <w:iCs/>
                <w:sz w:val="20"/>
              </w:rPr>
              <w:t xml:space="preserve">e registrará el incumplimiento en el SICOES. </w:t>
            </w:r>
          </w:p>
          <w:p w14:paraId="2F5E7750" w14:textId="77777777" w:rsidR="00FC23ED" w:rsidRPr="00751A8E" w:rsidRDefault="00FC23ED" w:rsidP="00FC23ED">
            <w:pPr>
              <w:pStyle w:val="Textoindependiente3"/>
              <w:rPr>
                <w:bCs/>
                <w:iCs/>
                <w:sz w:val="20"/>
              </w:rPr>
            </w:pPr>
          </w:p>
          <w:p w14:paraId="561401DE" w14:textId="3935CD85" w:rsidR="00FC23ED" w:rsidRPr="00742380" w:rsidRDefault="00FC23ED" w:rsidP="00FC23ED">
            <w:pPr>
              <w:ind w:right="2"/>
              <w:jc w:val="both"/>
              <w:rPr>
                <w:rFonts w:ascii="Bookman Old Style" w:eastAsia="Arial" w:hAnsi="Bookman Old Style" w:cs="Arial"/>
                <w:lang w:val="es-BO"/>
              </w:rPr>
            </w:pPr>
            <w:r w:rsidRPr="00751A8E">
              <w:rPr>
                <w:rFonts w:ascii="Arial" w:hAnsi="Arial" w:cs="Arial"/>
                <w:bCs/>
                <w:iCs/>
                <w:lang w:val="es-BO" w:eastAsia="es-ES"/>
              </w:rPr>
              <w:t>Para tal efecto, una vez emitido el Informe de Disconformidad la Unidad Solicitante deberá emitir un Informe Técnico al Responsable Proceso de Contratación, el mismo que deja</w:t>
            </w:r>
            <w:r w:rsidR="005E51D9">
              <w:rPr>
                <w:rFonts w:ascii="Arial" w:hAnsi="Arial" w:cs="Arial"/>
                <w:bCs/>
                <w:iCs/>
                <w:lang w:val="es-BO" w:eastAsia="es-ES"/>
              </w:rPr>
              <w:t>rá sin efecto la Orden de Servicio</w:t>
            </w:r>
            <w:r w:rsidRPr="00751A8E">
              <w:rPr>
                <w:rFonts w:ascii="Arial" w:hAnsi="Arial" w:cs="Arial"/>
                <w:bCs/>
                <w:iCs/>
                <w:lang w:val="es-BO" w:eastAsia="es-ES"/>
              </w:rPr>
              <w:t>.</w:t>
            </w:r>
          </w:p>
        </w:tc>
      </w:tr>
      <w:tr w:rsidR="00FC23ED" w:rsidRPr="002C0FA2" w14:paraId="062801B9" w14:textId="77777777" w:rsidTr="008D5849">
        <w:trPr>
          <w:trHeight w:val="424"/>
          <w:hidden/>
        </w:trPr>
        <w:tc>
          <w:tcPr>
            <w:tcW w:w="10057" w:type="dxa"/>
            <w:shd w:val="clear" w:color="auto" w:fill="000000" w:themeFill="text1"/>
            <w:vAlign w:val="center"/>
          </w:tcPr>
          <w:p w14:paraId="3FDA4509" w14:textId="77777777" w:rsidR="00FB7F32" w:rsidRPr="00FB7F32" w:rsidRDefault="00FB7F32" w:rsidP="00FB7F32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Bookman Old Style" w:hAnsi="Bookman Old Style" w:cs="Arial"/>
                <w:b/>
                <w:bCs/>
                <w:vanish/>
                <w:lang w:val="es-BO" w:eastAsia="es-ES"/>
              </w:rPr>
            </w:pPr>
          </w:p>
          <w:p w14:paraId="4A903533" w14:textId="77777777" w:rsidR="00FB7F32" w:rsidRPr="00FB7F32" w:rsidRDefault="00FB7F32" w:rsidP="00FB7F32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Bookman Old Style" w:hAnsi="Bookman Old Style" w:cs="Arial"/>
                <w:b/>
                <w:bCs/>
                <w:vanish/>
                <w:lang w:val="es-BO" w:eastAsia="es-ES"/>
              </w:rPr>
            </w:pPr>
          </w:p>
          <w:p w14:paraId="0BC0521F" w14:textId="77777777" w:rsidR="00FB7F32" w:rsidRPr="00FB7F32" w:rsidRDefault="00FB7F32" w:rsidP="00FB7F32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Bookman Old Style" w:hAnsi="Bookman Old Style" w:cs="Arial"/>
                <w:b/>
                <w:bCs/>
                <w:vanish/>
                <w:lang w:val="es-BO" w:eastAsia="es-ES"/>
              </w:rPr>
            </w:pPr>
          </w:p>
          <w:p w14:paraId="6AC53F2A" w14:textId="77777777" w:rsidR="00FB7F32" w:rsidRPr="00FB7F32" w:rsidRDefault="00FB7F32" w:rsidP="00FB7F32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Bookman Old Style" w:hAnsi="Bookman Old Style" w:cs="Arial"/>
                <w:b/>
                <w:bCs/>
                <w:vanish/>
                <w:lang w:val="es-BO" w:eastAsia="es-ES"/>
              </w:rPr>
            </w:pPr>
          </w:p>
          <w:p w14:paraId="3E79F21B" w14:textId="77777777" w:rsidR="00FB7F32" w:rsidRPr="00FB7F32" w:rsidRDefault="00FB7F32" w:rsidP="00FB7F32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Bookman Old Style" w:hAnsi="Bookman Old Style" w:cs="Arial"/>
                <w:b/>
                <w:bCs/>
                <w:vanish/>
                <w:lang w:val="es-BO" w:eastAsia="es-ES"/>
              </w:rPr>
            </w:pPr>
          </w:p>
          <w:p w14:paraId="134BA087" w14:textId="77777777" w:rsidR="00FB7F32" w:rsidRPr="00FB7F32" w:rsidRDefault="00FB7F32" w:rsidP="00FB7F32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Bookman Old Style" w:hAnsi="Bookman Old Style" w:cs="Arial"/>
                <w:b/>
                <w:bCs/>
                <w:vanish/>
                <w:lang w:val="es-BO" w:eastAsia="es-ES"/>
              </w:rPr>
            </w:pPr>
          </w:p>
          <w:p w14:paraId="342B3EA7" w14:textId="77777777" w:rsidR="00FB7F32" w:rsidRPr="00FB7F32" w:rsidRDefault="00FB7F32" w:rsidP="00FB7F32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Bookman Old Style" w:hAnsi="Bookman Old Style" w:cs="Arial"/>
                <w:b/>
                <w:bCs/>
                <w:vanish/>
                <w:lang w:val="es-BO" w:eastAsia="es-ES"/>
              </w:rPr>
            </w:pPr>
          </w:p>
          <w:p w14:paraId="3CED6E9D" w14:textId="77777777" w:rsidR="00FB7F32" w:rsidRPr="00FB7F32" w:rsidRDefault="00FB7F32" w:rsidP="00FB7F32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Bookman Old Style" w:hAnsi="Bookman Old Style" w:cs="Arial"/>
                <w:b/>
                <w:bCs/>
                <w:vanish/>
                <w:lang w:val="es-BO" w:eastAsia="es-ES"/>
              </w:rPr>
            </w:pPr>
          </w:p>
          <w:p w14:paraId="0F0A6F47" w14:textId="77777777" w:rsidR="00FB7F32" w:rsidRPr="00FB7F32" w:rsidRDefault="00FB7F32" w:rsidP="00FB7F32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Bookman Old Style" w:hAnsi="Bookman Old Style" w:cs="Arial"/>
                <w:b/>
                <w:bCs/>
                <w:vanish/>
                <w:lang w:val="es-BO" w:eastAsia="es-ES"/>
              </w:rPr>
            </w:pPr>
          </w:p>
          <w:p w14:paraId="3C8077AC" w14:textId="77777777" w:rsidR="00FB7F32" w:rsidRPr="00FB7F32" w:rsidRDefault="00FB7F32" w:rsidP="00FB7F32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Bookman Old Style" w:hAnsi="Bookman Old Style" w:cs="Arial"/>
                <w:b/>
                <w:bCs/>
                <w:vanish/>
                <w:lang w:val="es-BO" w:eastAsia="es-ES"/>
              </w:rPr>
            </w:pPr>
          </w:p>
          <w:p w14:paraId="540D22AC" w14:textId="77777777" w:rsidR="00FB7F32" w:rsidRPr="00FB7F32" w:rsidRDefault="00FB7F32" w:rsidP="00FB7F32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Bookman Old Style" w:hAnsi="Bookman Old Style" w:cs="Arial"/>
                <w:b/>
                <w:bCs/>
                <w:vanish/>
                <w:lang w:val="es-BO" w:eastAsia="es-ES"/>
              </w:rPr>
            </w:pPr>
          </w:p>
          <w:p w14:paraId="4137203D" w14:textId="77777777" w:rsidR="00FB7F32" w:rsidRPr="00FB7F32" w:rsidRDefault="00FB7F32" w:rsidP="00FB7F32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Bookman Old Style" w:hAnsi="Bookman Old Style" w:cs="Arial"/>
                <w:b/>
                <w:bCs/>
                <w:vanish/>
                <w:lang w:val="es-BO" w:eastAsia="es-ES"/>
              </w:rPr>
            </w:pPr>
          </w:p>
          <w:p w14:paraId="7E60E3C1" w14:textId="77777777" w:rsidR="00FB7F32" w:rsidRPr="00FB7F32" w:rsidRDefault="00FB7F32" w:rsidP="00FB7F32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Bookman Old Style" w:hAnsi="Bookman Old Style" w:cs="Arial"/>
                <w:b/>
                <w:bCs/>
                <w:vanish/>
                <w:lang w:val="es-BO" w:eastAsia="es-ES"/>
              </w:rPr>
            </w:pPr>
          </w:p>
          <w:p w14:paraId="4DD490E7" w14:textId="77777777" w:rsidR="00FB7F32" w:rsidRPr="00FB7F32" w:rsidRDefault="00FB7F32" w:rsidP="00FB7F32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Bookman Old Style" w:hAnsi="Bookman Old Style" w:cs="Arial"/>
                <w:b/>
                <w:bCs/>
                <w:vanish/>
                <w:lang w:val="es-BO" w:eastAsia="es-ES"/>
              </w:rPr>
            </w:pPr>
          </w:p>
          <w:p w14:paraId="7F6CE47C" w14:textId="77777777" w:rsidR="00FB7F32" w:rsidRPr="00FB7F32" w:rsidRDefault="00FB7F32" w:rsidP="00FB7F32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Bookman Old Style" w:hAnsi="Bookman Old Style" w:cs="Arial"/>
                <w:b/>
                <w:bCs/>
                <w:vanish/>
                <w:lang w:val="es-BO" w:eastAsia="es-ES"/>
              </w:rPr>
            </w:pPr>
          </w:p>
          <w:p w14:paraId="30DCE0E1" w14:textId="77777777" w:rsidR="00FB7F32" w:rsidRPr="00FB7F32" w:rsidRDefault="00FB7F32" w:rsidP="00FB7F32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Bookman Old Style" w:hAnsi="Bookman Old Style" w:cs="Arial"/>
                <w:b/>
                <w:bCs/>
                <w:vanish/>
                <w:lang w:val="es-BO" w:eastAsia="es-ES"/>
              </w:rPr>
            </w:pPr>
          </w:p>
          <w:p w14:paraId="7287F622" w14:textId="77777777" w:rsidR="00FB7F32" w:rsidRPr="00FB7F32" w:rsidRDefault="00FB7F32" w:rsidP="00FB7F32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Bookman Old Style" w:hAnsi="Bookman Old Style" w:cs="Arial"/>
                <w:b/>
                <w:bCs/>
                <w:vanish/>
                <w:lang w:val="es-BO" w:eastAsia="es-ES"/>
              </w:rPr>
            </w:pPr>
          </w:p>
          <w:p w14:paraId="6C4AA1A4" w14:textId="24ABEBF6" w:rsidR="00FC23ED" w:rsidRPr="00742380" w:rsidRDefault="00FC23ED" w:rsidP="00FB7F32">
            <w:pPr>
              <w:pStyle w:val="Textoindependiente3"/>
              <w:numPr>
                <w:ilvl w:val="0"/>
                <w:numId w:val="45"/>
              </w:numPr>
              <w:rPr>
                <w:rFonts w:ascii="Bookman Old Style" w:hAnsi="Bookman Old Style"/>
                <w:b/>
                <w:sz w:val="20"/>
              </w:rPr>
            </w:pPr>
            <w:r w:rsidRPr="00742380">
              <w:rPr>
                <w:rFonts w:ascii="Bookman Old Style" w:hAnsi="Bookman Old Style"/>
                <w:b/>
                <w:bCs/>
                <w:sz w:val="20"/>
                <w:lang w:val="es-BO"/>
              </w:rPr>
              <w:t>RESPONSABLE O COMISIÓN DE RECEPCIÓN</w:t>
            </w:r>
          </w:p>
        </w:tc>
      </w:tr>
      <w:tr w:rsidR="00FC23ED" w:rsidRPr="002C0FA2" w14:paraId="61AD84B4" w14:textId="77777777" w:rsidTr="008D5849">
        <w:trPr>
          <w:trHeight w:val="1443"/>
        </w:trPr>
        <w:tc>
          <w:tcPr>
            <w:tcW w:w="10057" w:type="dxa"/>
            <w:shd w:val="clear" w:color="auto" w:fill="auto"/>
            <w:vAlign w:val="center"/>
          </w:tcPr>
          <w:p w14:paraId="31A97E86" w14:textId="77777777" w:rsidR="00751A8E" w:rsidRPr="00751A8E" w:rsidRDefault="00751A8E" w:rsidP="00751A8E">
            <w:pPr>
              <w:pStyle w:val="Textoindependiente3"/>
              <w:rPr>
                <w:bCs/>
                <w:sz w:val="20"/>
                <w:lang w:val="es-ES_tradnl"/>
              </w:rPr>
            </w:pPr>
            <w:r w:rsidRPr="00751A8E">
              <w:rPr>
                <w:bCs/>
                <w:sz w:val="20"/>
                <w:lang w:val="es-ES_tradnl"/>
              </w:rPr>
              <w:lastRenderedPageBreak/>
              <w:t>El Responsable o Comisión de Recepción será designado por el RPCD y se encargará de realizar la  verificación de la entrega del servicio contratado, a cuyo efecto realizará las siguientes funciones:</w:t>
            </w:r>
          </w:p>
          <w:p w14:paraId="4E67B558" w14:textId="77777777" w:rsidR="00751A8E" w:rsidRPr="00751A8E" w:rsidRDefault="00751A8E" w:rsidP="00751A8E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14:paraId="7AC90718" w14:textId="77777777" w:rsidR="00751A8E" w:rsidRPr="00751A8E" w:rsidRDefault="00751A8E" w:rsidP="00751A8E">
            <w:pPr>
              <w:pStyle w:val="Textoindependiente3"/>
              <w:numPr>
                <w:ilvl w:val="0"/>
                <w:numId w:val="6"/>
              </w:numPr>
              <w:ind w:left="720"/>
              <w:rPr>
                <w:bCs/>
                <w:sz w:val="20"/>
              </w:rPr>
            </w:pPr>
            <w:r w:rsidRPr="00751A8E">
              <w:rPr>
                <w:bCs/>
                <w:sz w:val="20"/>
              </w:rPr>
              <w:t>Efectuar la recepción del servicio y dar cumplimiento las especificaciones técnicas</w:t>
            </w:r>
          </w:p>
          <w:p w14:paraId="551A0137" w14:textId="0D221C6F" w:rsidR="00FC23ED" w:rsidRPr="00742380" w:rsidRDefault="00FC23ED" w:rsidP="00751A8E">
            <w:pPr>
              <w:pStyle w:val="Textoindependiente3"/>
              <w:numPr>
                <w:ilvl w:val="0"/>
                <w:numId w:val="6"/>
              </w:numPr>
              <w:ind w:left="720"/>
              <w:rPr>
                <w:rFonts w:ascii="Bookman Old Style" w:hAnsi="Bookman Old Style"/>
                <w:bCs/>
                <w:sz w:val="20"/>
              </w:rPr>
            </w:pPr>
            <w:r w:rsidRPr="00751A8E">
              <w:rPr>
                <w:bCs/>
                <w:sz w:val="20"/>
              </w:rPr>
              <w:t>Emitir el informe de conformidad o disconformidad, cuando corresponda</w:t>
            </w:r>
            <w:r w:rsidRPr="00742380">
              <w:rPr>
                <w:rFonts w:ascii="Bookman Old Style" w:hAnsi="Bookman Old Style"/>
                <w:bCs/>
                <w:sz w:val="20"/>
              </w:rPr>
              <w:t>.</w:t>
            </w:r>
          </w:p>
        </w:tc>
      </w:tr>
      <w:tr w:rsidR="00FC23ED" w:rsidRPr="00742380" w14:paraId="2B420094" w14:textId="77777777" w:rsidTr="008D5849">
        <w:trPr>
          <w:trHeight w:val="397"/>
        </w:trPr>
        <w:tc>
          <w:tcPr>
            <w:tcW w:w="10057" w:type="dxa"/>
            <w:shd w:val="clear" w:color="auto" w:fill="D0CECE"/>
            <w:vAlign w:val="center"/>
          </w:tcPr>
          <w:p w14:paraId="58C8D28B" w14:textId="77777777" w:rsidR="00FC23ED" w:rsidRPr="00742380" w:rsidRDefault="00FC23ED" w:rsidP="00FC23ED">
            <w:pPr>
              <w:pStyle w:val="Textoindependiente3"/>
              <w:ind w:left="284"/>
              <w:rPr>
                <w:rFonts w:ascii="Bookman Old Style" w:hAnsi="Bookman Old Style"/>
                <w:b/>
                <w:bCs/>
                <w:sz w:val="20"/>
              </w:rPr>
            </w:pPr>
            <w:r w:rsidRPr="00742380">
              <w:rPr>
                <w:rFonts w:ascii="Bookman Old Style" w:hAnsi="Bookman Old Style"/>
                <w:b/>
                <w:bCs/>
                <w:sz w:val="20"/>
              </w:rPr>
              <w:t>FORMA DE PAGO</w:t>
            </w:r>
          </w:p>
        </w:tc>
      </w:tr>
      <w:tr w:rsidR="00FC23ED" w:rsidRPr="002C0FA2" w14:paraId="5963865E" w14:textId="77777777" w:rsidTr="008D5849">
        <w:trPr>
          <w:trHeight w:val="932"/>
        </w:trPr>
        <w:tc>
          <w:tcPr>
            <w:tcW w:w="10057" w:type="dxa"/>
            <w:tcBorders>
              <w:bottom w:val="single" w:sz="4" w:space="0" w:color="auto"/>
            </w:tcBorders>
            <w:vAlign w:val="center"/>
          </w:tcPr>
          <w:p w14:paraId="1E1CFEB1" w14:textId="1C629D2F" w:rsidR="00FC23ED" w:rsidRPr="00751A8E" w:rsidRDefault="00FC23ED" w:rsidP="00FC23ED">
            <w:pPr>
              <w:pStyle w:val="Textoindependiente3"/>
              <w:ind w:left="28"/>
              <w:rPr>
                <w:iCs/>
                <w:sz w:val="20"/>
              </w:rPr>
            </w:pPr>
            <w:r w:rsidRPr="00751A8E">
              <w:rPr>
                <w:sz w:val="20"/>
                <w:lang w:val="es-BO"/>
              </w:rPr>
              <w:t xml:space="preserve">El pago se realizará de forma única vía SIGEP, </w:t>
            </w:r>
            <w:r w:rsidRPr="00751A8E">
              <w:rPr>
                <w:iCs/>
                <w:sz w:val="20"/>
                <w:lang w:val="es-BO"/>
              </w:rPr>
              <w:t>previa presentación de Informe de Conformidad (emitido por el Responsable o Comisión de Recepción) y remisión de factura.</w:t>
            </w:r>
          </w:p>
        </w:tc>
      </w:tr>
    </w:tbl>
    <w:p w14:paraId="2E60636C" w14:textId="77777777" w:rsidR="00751A8E" w:rsidRDefault="00751A8E" w:rsidP="00D110EA">
      <w:pPr>
        <w:jc w:val="both"/>
        <w:rPr>
          <w:rFonts w:ascii="Arial" w:hAnsi="Arial" w:cs="Arial"/>
          <w:b/>
          <w:lang w:val="es-BO"/>
        </w:rPr>
      </w:pPr>
    </w:p>
    <w:sectPr w:rsidR="00751A8E" w:rsidSect="0007324E">
      <w:headerReference w:type="default" r:id="rId8"/>
      <w:pgSz w:w="12240" w:h="15840"/>
      <w:pgMar w:top="2126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0FFB0" w14:textId="77777777" w:rsidR="00881891" w:rsidRDefault="00881891" w:rsidP="00892432">
      <w:r>
        <w:separator/>
      </w:r>
    </w:p>
  </w:endnote>
  <w:endnote w:type="continuationSeparator" w:id="0">
    <w:p w14:paraId="39DB83BD" w14:textId="77777777" w:rsidR="00881891" w:rsidRDefault="00881891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9E55D" w14:textId="77777777" w:rsidR="00881891" w:rsidRDefault="00881891" w:rsidP="00892432">
      <w:r>
        <w:separator/>
      </w:r>
    </w:p>
  </w:footnote>
  <w:footnote w:type="continuationSeparator" w:id="0">
    <w:p w14:paraId="6500B165" w14:textId="77777777" w:rsidR="00881891" w:rsidRDefault="00881891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9C314" w14:textId="77777777" w:rsidR="004848CA" w:rsidRDefault="004848CA" w:rsidP="000046B5">
    <w:pPr>
      <w:pStyle w:val="Encabezado"/>
      <w:tabs>
        <w:tab w:val="center" w:pos="5174"/>
        <w:tab w:val="left" w:pos="8056"/>
      </w:tabs>
      <w:jc w:val="center"/>
    </w:pPr>
    <w:r>
      <w:rPr>
        <w:noProof/>
        <w:lang w:val="es-BO" w:eastAsia="es-BO"/>
      </w:rPr>
      <w:drawing>
        <wp:inline distT="0" distB="0" distL="0" distR="0" wp14:anchorId="45FF8CBC" wp14:editId="77C6DD90">
          <wp:extent cx="2587924" cy="830583"/>
          <wp:effectExtent l="0" t="0" r="3175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8562" cy="837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CF613B"/>
    <w:multiLevelType w:val="hybridMultilevel"/>
    <w:tmpl w:val="B98E2BF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71350"/>
    <w:multiLevelType w:val="hybridMultilevel"/>
    <w:tmpl w:val="327C1BCE"/>
    <w:lvl w:ilvl="0" w:tplc="FFF63CE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8721F"/>
    <w:multiLevelType w:val="hybridMultilevel"/>
    <w:tmpl w:val="DFE4B240"/>
    <w:lvl w:ilvl="0" w:tplc="400A0003">
      <w:start w:val="1"/>
      <w:numFmt w:val="bullet"/>
      <w:lvlText w:val="o"/>
      <w:lvlJc w:val="left"/>
      <w:pPr>
        <w:ind w:left="974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6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67573"/>
    <w:multiLevelType w:val="hybridMultilevel"/>
    <w:tmpl w:val="0D9A12BC"/>
    <w:lvl w:ilvl="0" w:tplc="A2763C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7597F"/>
    <w:multiLevelType w:val="hybridMultilevel"/>
    <w:tmpl w:val="549A0644"/>
    <w:lvl w:ilvl="0" w:tplc="BCA6AB9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579DD"/>
    <w:multiLevelType w:val="hybridMultilevel"/>
    <w:tmpl w:val="D20815D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095DC2"/>
    <w:multiLevelType w:val="hybridMultilevel"/>
    <w:tmpl w:val="505C670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363C4"/>
    <w:multiLevelType w:val="hybridMultilevel"/>
    <w:tmpl w:val="67AEFA82"/>
    <w:lvl w:ilvl="0" w:tplc="0C0A0019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B0DA0"/>
    <w:multiLevelType w:val="hybridMultilevel"/>
    <w:tmpl w:val="D19625F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0072A5"/>
    <w:multiLevelType w:val="hybridMultilevel"/>
    <w:tmpl w:val="DD6AD8A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13E73"/>
    <w:multiLevelType w:val="hybridMultilevel"/>
    <w:tmpl w:val="1416CC7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3E9E038C"/>
    <w:multiLevelType w:val="hybridMultilevel"/>
    <w:tmpl w:val="EF38DA6E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4732A"/>
    <w:multiLevelType w:val="hybridMultilevel"/>
    <w:tmpl w:val="D6DC78BC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E53853"/>
    <w:multiLevelType w:val="hybridMultilevel"/>
    <w:tmpl w:val="9A3ED4F0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614310"/>
    <w:multiLevelType w:val="hybridMultilevel"/>
    <w:tmpl w:val="06844B48"/>
    <w:lvl w:ilvl="0" w:tplc="40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97E1D"/>
    <w:multiLevelType w:val="hybridMultilevel"/>
    <w:tmpl w:val="37CAB326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EA0131"/>
    <w:multiLevelType w:val="hybridMultilevel"/>
    <w:tmpl w:val="20E8E412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50157F"/>
    <w:multiLevelType w:val="hybridMultilevel"/>
    <w:tmpl w:val="0A6E7512"/>
    <w:lvl w:ilvl="0" w:tplc="CCEAB9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B11DFF"/>
    <w:multiLevelType w:val="hybridMultilevel"/>
    <w:tmpl w:val="FD729D3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8634C"/>
    <w:multiLevelType w:val="hybridMultilevel"/>
    <w:tmpl w:val="6396EBE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BD118E1"/>
    <w:multiLevelType w:val="hybridMultilevel"/>
    <w:tmpl w:val="47609BD8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BF758C"/>
    <w:multiLevelType w:val="hybridMultilevel"/>
    <w:tmpl w:val="60E49F40"/>
    <w:lvl w:ilvl="0" w:tplc="22B4BE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0068C"/>
    <w:multiLevelType w:val="hybridMultilevel"/>
    <w:tmpl w:val="A95CBA0C"/>
    <w:lvl w:ilvl="0" w:tplc="5FC6B1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54B2A2A"/>
    <w:multiLevelType w:val="hybridMultilevel"/>
    <w:tmpl w:val="D208FF18"/>
    <w:lvl w:ilvl="0" w:tplc="40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2270F"/>
    <w:multiLevelType w:val="hybridMultilevel"/>
    <w:tmpl w:val="426EF6A8"/>
    <w:lvl w:ilvl="0" w:tplc="0C0A0019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AE2792"/>
    <w:multiLevelType w:val="hybridMultilevel"/>
    <w:tmpl w:val="470AD122"/>
    <w:lvl w:ilvl="0" w:tplc="A20A0530">
      <w:start w:val="3"/>
      <w:numFmt w:val="bullet"/>
      <w:lvlText w:val="-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6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D0E3F"/>
    <w:multiLevelType w:val="hybridMultilevel"/>
    <w:tmpl w:val="7E9A58E2"/>
    <w:lvl w:ilvl="0" w:tplc="794E18BE">
      <w:start w:val="4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9">
    <w:nsid w:val="74652ACE"/>
    <w:multiLevelType w:val="hybridMultilevel"/>
    <w:tmpl w:val="260261BE"/>
    <w:lvl w:ilvl="0" w:tplc="9E5A5D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1">
    <w:nsid w:val="760609D2"/>
    <w:multiLevelType w:val="hybridMultilevel"/>
    <w:tmpl w:val="D91A6F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AD6D50"/>
    <w:multiLevelType w:val="hybridMultilevel"/>
    <w:tmpl w:val="D64CCFBE"/>
    <w:lvl w:ilvl="0" w:tplc="400A000F">
      <w:start w:val="1"/>
      <w:numFmt w:val="decimal"/>
      <w:lvlText w:val="%1."/>
      <w:lvlJc w:val="left"/>
      <w:pPr>
        <w:ind w:left="1428" w:hanging="360"/>
      </w:p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9226584"/>
    <w:multiLevelType w:val="hybridMultilevel"/>
    <w:tmpl w:val="2ED63952"/>
    <w:lvl w:ilvl="0" w:tplc="5AB44224">
      <w:start w:val="1"/>
      <w:numFmt w:val="upperRoman"/>
      <w:lvlText w:val="%1."/>
      <w:lvlJc w:val="left"/>
      <w:pPr>
        <w:ind w:left="1004" w:hanging="72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5"/>
  </w:num>
  <w:num w:numId="4">
    <w:abstractNumId w:val="12"/>
  </w:num>
  <w:num w:numId="5">
    <w:abstractNumId w:val="9"/>
  </w:num>
  <w:num w:numId="6">
    <w:abstractNumId w:val="2"/>
  </w:num>
  <w:num w:numId="7">
    <w:abstractNumId w:val="38"/>
  </w:num>
  <w:num w:numId="8">
    <w:abstractNumId w:val="10"/>
  </w:num>
  <w:num w:numId="9">
    <w:abstractNumId w:val="36"/>
  </w:num>
  <w:num w:numId="10">
    <w:abstractNumId w:val="1"/>
  </w:num>
  <w:num w:numId="11">
    <w:abstractNumId w:val="7"/>
  </w:num>
  <w:num w:numId="12">
    <w:abstractNumId w:val="40"/>
  </w:num>
  <w:num w:numId="13">
    <w:abstractNumId w:val="42"/>
  </w:num>
  <w:num w:numId="14">
    <w:abstractNumId w:val="33"/>
  </w:num>
  <w:num w:numId="15">
    <w:abstractNumId w:val="16"/>
  </w:num>
  <w:num w:numId="16">
    <w:abstractNumId w:val="26"/>
  </w:num>
  <w:num w:numId="17">
    <w:abstractNumId w:val="21"/>
  </w:num>
  <w:num w:numId="18">
    <w:abstractNumId w:val="15"/>
  </w:num>
  <w:num w:numId="19">
    <w:abstractNumId w:val="23"/>
  </w:num>
  <w:num w:numId="20">
    <w:abstractNumId w:val="0"/>
  </w:num>
  <w:num w:numId="21">
    <w:abstractNumId w:val="35"/>
  </w:num>
  <w:num w:numId="22">
    <w:abstractNumId w:val="30"/>
  </w:num>
  <w:num w:numId="23">
    <w:abstractNumId w:val="8"/>
  </w:num>
  <w:num w:numId="24">
    <w:abstractNumId w:val="5"/>
  </w:num>
  <w:num w:numId="25">
    <w:abstractNumId w:val="27"/>
  </w:num>
  <w:num w:numId="26">
    <w:abstractNumId w:val="41"/>
  </w:num>
  <w:num w:numId="27">
    <w:abstractNumId w:val="28"/>
  </w:num>
  <w:num w:numId="28">
    <w:abstractNumId w:val="17"/>
  </w:num>
  <w:num w:numId="29">
    <w:abstractNumId w:val="29"/>
  </w:num>
  <w:num w:numId="30">
    <w:abstractNumId w:val="34"/>
  </w:num>
  <w:num w:numId="31">
    <w:abstractNumId w:val="14"/>
  </w:num>
  <w:num w:numId="32">
    <w:abstractNumId w:val="18"/>
  </w:num>
  <w:num w:numId="33">
    <w:abstractNumId w:val="20"/>
  </w:num>
  <w:num w:numId="34">
    <w:abstractNumId w:val="44"/>
  </w:num>
  <w:num w:numId="35">
    <w:abstractNumId w:val="39"/>
  </w:num>
  <w:num w:numId="36">
    <w:abstractNumId w:val="31"/>
  </w:num>
  <w:num w:numId="37">
    <w:abstractNumId w:val="11"/>
  </w:num>
  <w:num w:numId="38">
    <w:abstractNumId w:val="3"/>
  </w:num>
  <w:num w:numId="39">
    <w:abstractNumId w:val="43"/>
  </w:num>
  <w:num w:numId="40">
    <w:abstractNumId w:val="32"/>
  </w:num>
  <w:num w:numId="41">
    <w:abstractNumId w:val="37"/>
  </w:num>
  <w:num w:numId="42">
    <w:abstractNumId w:val="26"/>
  </w:num>
  <w:num w:numId="43">
    <w:abstractNumId w:val="13"/>
  </w:num>
  <w:num w:numId="44">
    <w:abstractNumId w:val="4"/>
  </w:num>
  <w:num w:numId="45">
    <w:abstractNumId w:val="24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46B5"/>
    <w:rsid w:val="00012590"/>
    <w:rsid w:val="00023495"/>
    <w:rsid w:val="00025D2C"/>
    <w:rsid w:val="00036C5A"/>
    <w:rsid w:val="00042727"/>
    <w:rsid w:val="000450B2"/>
    <w:rsid w:val="00052F65"/>
    <w:rsid w:val="00065818"/>
    <w:rsid w:val="00070F19"/>
    <w:rsid w:val="0007324E"/>
    <w:rsid w:val="000761BB"/>
    <w:rsid w:val="00076C4B"/>
    <w:rsid w:val="000819D9"/>
    <w:rsid w:val="000D547D"/>
    <w:rsid w:val="000D5B0A"/>
    <w:rsid w:val="000D623B"/>
    <w:rsid w:val="000D7C4B"/>
    <w:rsid w:val="000E6332"/>
    <w:rsid w:val="000F6704"/>
    <w:rsid w:val="0010585B"/>
    <w:rsid w:val="00114CCF"/>
    <w:rsid w:val="00120A17"/>
    <w:rsid w:val="001406DE"/>
    <w:rsid w:val="0014244E"/>
    <w:rsid w:val="001607A5"/>
    <w:rsid w:val="001616E5"/>
    <w:rsid w:val="00166C6D"/>
    <w:rsid w:val="001829B6"/>
    <w:rsid w:val="001979C4"/>
    <w:rsid w:val="001A2519"/>
    <w:rsid w:val="001A4DA5"/>
    <w:rsid w:val="001A5AC1"/>
    <w:rsid w:val="001B1603"/>
    <w:rsid w:val="001C0FC4"/>
    <w:rsid w:val="001C4F81"/>
    <w:rsid w:val="001D018D"/>
    <w:rsid w:val="001D1686"/>
    <w:rsid w:val="001E495E"/>
    <w:rsid w:val="001F0D01"/>
    <w:rsid w:val="001F117E"/>
    <w:rsid w:val="001F302E"/>
    <w:rsid w:val="001F7641"/>
    <w:rsid w:val="00210148"/>
    <w:rsid w:val="0023018C"/>
    <w:rsid w:val="00230459"/>
    <w:rsid w:val="00230523"/>
    <w:rsid w:val="0023240E"/>
    <w:rsid w:val="00237EC3"/>
    <w:rsid w:val="00242624"/>
    <w:rsid w:val="00243EE0"/>
    <w:rsid w:val="002466BF"/>
    <w:rsid w:val="00266030"/>
    <w:rsid w:val="0027308A"/>
    <w:rsid w:val="0028278A"/>
    <w:rsid w:val="00294F06"/>
    <w:rsid w:val="00297202"/>
    <w:rsid w:val="002A31EE"/>
    <w:rsid w:val="002A3F3A"/>
    <w:rsid w:val="002C0FA2"/>
    <w:rsid w:val="002C1AC1"/>
    <w:rsid w:val="002D13AF"/>
    <w:rsid w:val="002F57B0"/>
    <w:rsid w:val="003002B0"/>
    <w:rsid w:val="00300355"/>
    <w:rsid w:val="00305D89"/>
    <w:rsid w:val="00307FA2"/>
    <w:rsid w:val="00322D9F"/>
    <w:rsid w:val="00332744"/>
    <w:rsid w:val="003338B7"/>
    <w:rsid w:val="00341A42"/>
    <w:rsid w:val="00346BB6"/>
    <w:rsid w:val="00356460"/>
    <w:rsid w:val="00363B42"/>
    <w:rsid w:val="00363BB8"/>
    <w:rsid w:val="003902AA"/>
    <w:rsid w:val="003A27C1"/>
    <w:rsid w:val="003A2D46"/>
    <w:rsid w:val="003E053D"/>
    <w:rsid w:val="003E1E6B"/>
    <w:rsid w:val="003E40E6"/>
    <w:rsid w:val="003F0207"/>
    <w:rsid w:val="003F1F31"/>
    <w:rsid w:val="00403F60"/>
    <w:rsid w:val="0041261C"/>
    <w:rsid w:val="00423845"/>
    <w:rsid w:val="00441B87"/>
    <w:rsid w:val="004557FA"/>
    <w:rsid w:val="00460736"/>
    <w:rsid w:val="00463CFF"/>
    <w:rsid w:val="004848CA"/>
    <w:rsid w:val="00485A13"/>
    <w:rsid w:val="004B1923"/>
    <w:rsid w:val="004B6BC3"/>
    <w:rsid w:val="004D4FA3"/>
    <w:rsid w:val="004E171B"/>
    <w:rsid w:val="004F5520"/>
    <w:rsid w:val="004F5BF6"/>
    <w:rsid w:val="004F77D1"/>
    <w:rsid w:val="0050464E"/>
    <w:rsid w:val="00506A1B"/>
    <w:rsid w:val="005114B5"/>
    <w:rsid w:val="0051679A"/>
    <w:rsid w:val="005269C5"/>
    <w:rsid w:val="005374A9"/>
    <w:rsid w:val="0055550D"/>
    <w:rsid w:val="00570015"/>
    <w:rsid w:val="0057554E"/>
    <w:rsid w:val="00587EDD"/>
    <w:rsid w:val="00590CEE"/>
    <w:rsid w:val="005B2AFE"/>
    <w:rsid w:val="005C136F"/>
    <w:rsid w:val="005C46E9"/>
    <w:rsid w:val="005D366A"/>
    <w:rsid w:val="005D59F6"/>
    <w:rsid w:val="005E0DEE"/>
    <w:rsid w:val="005E45DC"/>
    <w:rsid w:val="005E51D9"/>
    <w:rsid w:val="005E75DA"/>
    <w:rsid w:val="005F2232"/>
    <w:rsid w:val="005F7217"/>
    <w:rsid w:val="006038BA"/>
    <w:rsid w:val="00607B7E"/>
    <w:rsid w:val="0062550B"/>
    <w:rsid w:val="0062708C"/>
    <w:rsid w:val="00632F1D"/>
    <w:rsid w:val="00636F37"/>
    <w:rsid w:val="00645EBB"/>
    <w:rsid w:val="00665D8D"/>
    <w:rsid w:val="00672AB6"/>
    <w:rsid w:val="006C3C12"/>
    <w:rsid w:val="006C3CC8"/>
    <w:rsid w:val="006C4EB0"/>
    <w:rsid w:val="006C7D0D"/>
    <w:rsid w:val="006D1D8A"/>
    <w:rsid w:val="006E0140"/>
    <w:rsid w:val="006E30D3"/>
    <w:rsid w:val="006F1A6C"/>
    <w:rsid w:val="006F643C"/>
    <w:rsid w:val="007062E1"/>
    <w:rsid w:val="0071234B"/>
    <w:rsid w:val="00720CE7"/>
    <w:rsid w:val="00721858"/>
    <w:rsid w:val="007328AE"/>
    <w:rsid w:val="0073381B"/>
    <w:rsid w:val="00740522"/>
    <w:rsid w:val="0074264F"/>
    <w:rsid w:val="00744A61"/>
    <w:rsid w:val="00751A8E"/>
    <w:rsid w:val="00790F51"/>
    <w:rsid w:val="00794A00"/>
    <w:rsid w:val="007A242E"/>
    <w:rsid w:val="007B24F3"/>
    <w:rsid w:val="007B4E9B"/>
    <w:rsid w:val="007B503B"/>
    <w:rsid w:val="007B709A"/>
    <w:rsid w:val="007D02A7"/>
    <w:rsid w:val="007D0469"/>
    <w:rsid w:val="007E269F"/>
    <w:rsid w:val="007E3799"/>
    <w:rsid w:val="007E3F3E"/>
    <w:rsid w:val="007E54BF"/>
    <w:rsid w:val="00803AE5"/>
    <w:rsid w:val="00803C56"/>
    <w:rsid w:val="00810F79"/>
    <w:rsid w:val="00821BDC"/>
    <w:rsid w:val="00822810"/>
    <w:rsid w:val="008306C5"/>
    <w:rsid w:val="00840E64"/>
    <w:rsid w:val="008453C9"/>
    <w:rsid w:val="00846DAC"/>
    <w:rsid w:val="00853F6C"/>
    <w:rsid w:val="0086121B"/>
    <w:rsid w:val="00873821"/>
    <w:rsid w:val="00881891"/>
    <w:rsid w:val="00892432"/>
    <w:rsid w:val="008A7021"/>
    <w:rsid w:val="008A7A46"/>
    <w:rsid w:val="008B4234"/>
    <w:rsid w:val="008B4625"/>
    <w:rsid w:val="008C3F05"/>
    <w:rsid w:val="00904415"/>
    <w:rsid w:val="0092619D"/>
    <w:rsid w:val="00933BCF"/>
    <w:rsid w:val="00941601"/>
    <w:rsid w:val="0095028F"/>
    <w:rsid w:val="009506A7"/>
    <w:rsid w:val="0095328C"/>
    <w:rsid w:val="00962591"/>
    <w:rsid w:val="00965532"/>
    <w:rsid w:val="00970F3B"/>
    <w:rsid w:val="00977D1A"/>
    <w:rsid w:val="00984041"/>
    <w:rsid w:val="00993A14"/>
    <w:rsid w:val="00996EFF"/>
    <w:rsid w:val="009A2839"/>
    <w:rsid w:val="009A3DB1"/>
    <w:rsid w:val="009B36BF"/>
    <w:rsid w:val="009D36B8"/>
    <w:rsid w:val="009D5846"/>
    <w:rsid w:val="009F49C0"/>
    <w:rsid w:val="00A17FAC"/>
    <w:rsid w:val="00A25ED0"/>
    <w:rsid w:val="00A30E00"/>
    <w:rsid w:val="00A328F8"/>
    <w:rsid w:val="00A54A59"/>
    <w:rsid w:val="00A66AFF"/>
    <w:rsid w:val="00A707B0"/>
    <w:rsid w:val="00A71719"/>
    <w:rsid w:val="00A76B6E"/>
    <w:rsid w:val="00A80167"/>
    <w:rsid w:val="00A828C0"/>
    <w:rsid w:val="00A96AF0"/>
    <w:rsid w:val="00AA047F"/>
    <w:rsid w:val="00AA73FE"/>
    <w:rsid w:val="00AB2E9E"/>
    <w:rsid w:val="00AB3D2F"/>
    <w:rsid w:val="00AB4B22"/>
    <w:rsid w:val="00AB72AA"/>
    <w:rsid w:val="00AD2738"/>
    <w:rsid w:val="00AE6F2F"/>
    <w:rsid w:val="00AF0B5B"/>
    <w:rsid w:val="00AF5D5B"/>
    <w:rsid w:val="00B105B1"/>
    <w:rsid w:val="00B160A6"/>
    <w:rsid w:val="00B2298B"/>
    <w:rsid w:val="00B30FDC"/>
    <w:rsid w:val="00B31292"/>
    <w:rsid w:val="00B36286"/>
    <w:rsid w:val="00B402A9"/>
    <w:rsid w:val="00B55DF3"/>
    <w:rsid w:val="00B6527A"/>
    <w:rsid w:val="00B66034"/>
    <w:rsid w:val="00B9127F"/>
    <w:rsid w:val="00BB14CC"/>
    <w:rsid w:val="00BB5D99"/>
    <w:rsid w:val="00BC6BAE"/>
    <w:rsid w:val="00BD3CCA"/>
    <w:rsid w:val="00BF0258"/>
    <w:rsid w:val="00BF0FDE"/>
    <w:rsid w:val="00BF2793"/>
    <w:rsid w:val="00BF7069"/>
    <w:rsid w:val="00C13DF9"/>
    <w:rsid w:val="00C14DD5"/>
    <w:rsid w:val="00C17784"/>
    <w:rsid w:val="00C253AF"/>
    <w:rsid w:val="00C26D6A"/>
    <w:rsid w:val="00C31712"/>
    <w:rsid w:val="00C44C0D"/>
    <w:rsid w:val="00C67D29"/>
    <w:rsid w:val="00C8077E"/>
    <w:rsid w:val="00C9589F"/>
    <w:rsid w:val="00CA5AB6"/>
    <w:rsid w:val="00CB7616"/>
    <w:rsid w:val="00CC02D9"/>
    <w:rsid w:val="00CC4D57"/>
    <w:rsid w:val="00CD140A"/>
    <w:rsid w:val="00CE7610"/>
    <w:rsid w:val="00D0225D"/>
    <w:rsid w:val="00D048B5"/>
    <w:rsid w:val="00D0492F"/>
    <w:rsid w:val="00D110EA"/>
    <w:rsid w:val="00D1561F"/>
    <w:rsid w:val="00D248F2"/>
    <w:rsid w:val="00D320D6"/>
    <w:rsid w:val="00D35351"/>
    <w:rsid w:val="00D41627"/>
    <w:rsid w:val="00D50075"/>
    <w:rsid w:val="00D51675"/>
    <w:rsid w:val="00D65772"/>
    <w:rsid w:val="00D72700"/>
    <w:rsid w:val="00D77864"/>
    <w:rsid w:val="00D872CE"/>
    <w:rsid w:val="00D90F09"/>
    <w:rsid w:val="00D94D91"/>
    <w:rsid w:val="00DA09DC"/>
    <w:rsid w:val="00DB74B6"/>
    <w:rsid w:val="00DE36B1"/>
    <w:rsid w:val="00DF408E"/>
    <w:rsid w:val="00DF6B2D"/>
    <w:rsid w:val="00DF6DFD"/>
    <w:rsid w:val="00E0788D"/>
    <w:rsid w:val="00E2046E"/>
    <w:rsid w:val="00E42A87"/>
    <w:rsid w:val="00E4645A"/>
    <w:rsid w:val="00E52194"/>
    <w:rsid w:val="00E54B33"/>
    <w:rsid w:val="00E6201C"/>
    <w:rsid w:val="00E70174"/>
    <w:rsid w:val="00E81B52"/>
    <w:rsid w:val="00E866A5"/>
    <w:rsid w:val="00E948A1"/>
    <w:rsid w:val="00EB34B9"/>
    <w:rsid w:val="00EC20B4"/>
    <w:rsid w:val="00EC3102"/>
    <w:rsid w:val="00EC50E2"/>
    <w:rsid w:val="00EC6678"/>
    <w:rsid w:val="00EC6BD4"/>
    <w:rsid w:val="00EC7B55"/>
    <w:rsid w:val="00EE2533"/>
    <w:rsid w:val="00EE2C44"/>
    <w:rsid w:val="00EE544E"/>
    <w:rsid w:val="00EF21AB"/>
    <w:rsid w:val="00EF785C"/>
    <w:rsid w:val="00F0232C"/>
    <w:rsid w:val="00F12F9F"/>
    <w:rsid w:val="00F134DA"/>
    <w:rsid w:val="00F14EF8"/>
    <w:rsid w:val="00F158A6"/>
    <w:rsid w:val="00F24E60"/>
    <w:rsid w:val="00F301F7"/>
    <w:rsid w:val="00F36D04"/>
    <w:rsid w:val="00F414D0"/>
    <w:rsid w:val="00F5298C"/>
    <w:rsid w:val="00F6316F"/>
    <w:rsid w:val="00F6716A"/>
    <w:rsid w:val="00F71FC0"/>
    <w:rsid w:val="00F73B77"/>
    <w:rsid w:val="00F77EF6"/>
    <w:rsid w:val="00F94322"/>
    <w:rsid w:val="00F968F8"/>
    <w:rsid w:val="00FA10CC"/>
    <w:rsid w:val="00FB37C6"/>
    <w:rsid w:val="00FB3BA7"/>
    <w:rsid w:val="00FB3EDD"/>
    <w:rsid w:val="00FB61ED"/>
    <w:rsid w:val="00FB7F32"/>
    <w:rsid w:val="00FC23ED"/>
    <w:rsid w:val="00FC4081"/>
    <w:rsid w:val="00FD27C7"/>
    <w:rsid w:val="00FE126A"/>
    <w:rsid w:val="00FE27B8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56252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aliases w:val="titulo 5,본문1,Segundo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aliases w:val="titulo 5 Car,본문1 Car,Segundo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CM2">
    <w:name w:val="CM2"/>
    <w:basedOn w:val="Normal"/>
    <w:next w:val="Normal"/>
    <w:rsid w:val="0098404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53C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53C9"/>
  </w:style>
  <w:style w:type="paragraph" w:styleId="Sinespaciado">
    <w:name w:val="No Spacing"/>
    <w:link w:val="SinespaciadoCar"/>
    <w:uiPriority w:val="1"/>
    <w:qFormat/>
    <w:rsid w:val="002A3F3A"/>
    <w:rPr>
      <w:rFonts w:ascii="Calibri" w:hAnsi="Calibri"/>
      <w:sz w:val="22"/>
      <w:szCs w:val="22"/>
      <w:lang w:val="es-ES"/>
    </w:rPr>
  </w:style>
  <w:style w:type="character" w:customStyle="1" w:styleId="SinespaciadoCar">
    <w:name w:val="Sin espaciado Car"/>
    <w:link w:val="Sinespaciado"/>
    <w:uiPriority w:val="1"/>
    <w:rsid w:val="002A3F3A"/>
    <w:rPr>
      <w:rFonts w:ascii="Calibri" w:hAnsi="Calibri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948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48A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48A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48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48A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D1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4704-92B2-425D-A26F-7DFDC041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846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Jhovanna Nina Maydana</cp:lastModifiedBy>
  <cp:revision>17</cp:revision>
  <cp:lastPrinted>2021-02-02T18:37:00Z</cp:lastPrinted>
  <dcterms:created xsi:type="dcterms:W3CDTF">2021-01-26T16:22:00Z</dcterms:created>
  <dcterms:modified xsi:type="dcterms:W3CDTF">2021-02-04T01:12:00Z</dcterms:modified>
</cp:coreProperties>
</file>