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FD" w:rsidRPr="00F922B4" w:rsidRDefault="00DF6DFD" w:rsidP="00F97521">
      <w:pPr>
        <w:spacing w:before="14" w:line="200" w:lineRule="exact"/>
        <w:rPr>
          <w:rFonts w:ascii="Bookman Old Style" w:hAnsi="Bookman Old Style" w:cs="Arial"/>
          <w:b/>
          <w:sz w:val="22"/>
          <w:szCs w:val="22"/>
          <w:lang w:val="es-BO"/>
        </w:rPr>
      </w:pPr>
    </w:p>
    <w:p w:rsidR="0014244E" w:rsidRPr="00F922B4" w:rsidRDefault="0014244E" w:rsidP="0014244E">
      <w:pPr>
        <w:spacing w:before="14"/>
        <w:ind w:left="426"/>
        <w:jc w:val="center"/>
        <w:rPr>
          <w:rFonts w:ascii="Bookman Old Style" w:hAnsi="Bookman Old Style" w:cs="Arial"/>
          <w:b/>
          <w:sz w:val="22"/>
          <w:szCs w:val="22"/>
          <w:lang w:val="es-BO"/>
        </w:rPr>
      </w:pPr>
      <w:r w:rsidRPr="00F922B4">
        <w:rPr>
          <w:rFonts w:ascii="Bookman Old Style" w:hAnsi="Bookman Old Style" w:cs="Arial"/>
          <w:b/>
          <w:sz w:val="22"/>
          <w:szCs w:val="22"/>
          <w:lang w:val="es-BO"/>
        </w:rPr>
        <w:t>ESPECIFICACIONES TÉCNICAS DE</w:t>
      </w:r>
      <w:r w:rsidR="0050464E" w:rsidRPr="00F922B4">
        <w:rPr>
          <w:rFonts w:ascii="Bookman Old Style" w:hAnsi="Bookman Old Style" w:cs="Arial"/>
          <w:b/>
          <w:sz w:val="22"/>
          <w:szCs w:val="22"/>
          <w:lang w:val="es-BO"/>
        </w:rPr>
        <w:t>L</w:t>
      </w:r>
      <w:r w:rsidRPr="00F922B4">
        <w:rPr>
          <w:rFonts w:ascii="Bookman Old Style" w:hAnsi="Bookman Old Style" w:cs="Arial"/>
          <w:b/>
          <w:sz w:val="22"/>
          <w:szCs w:val="22"/>
          <w:lang w:val="es-BO"/>
        </w:rPr>
        <w:t xml:space="preserve"> </w:t>
      </w:r>
      <w:r w:rsidR="00AE516C" w:rsidRPr="00F922B4">
        <w:rPr>
          <w:rFonts w:ascii="Bookman Old Style" w:hAnsi="Bookman Old Style" w:cs="Arial"/>
          <w:b/>
          <w:sz w:val="22"/>
          <w:szCs w:val="22"/>
          <w:lang w:val="es-BO"/>
        </w:rPr>
        <w:t>SERVICIO</w:t>
      </w:r>
    </w:p>
    <w:p w:rsidR="001E2623" w:rsidRPr="00F922B4" w:rsidRDefault="009D5846" w:rsidP="001E2623">
      <w:pPr>
        <w:jc w:val="center"/>
        <w:rPr>
          <w:rFonts w:ascii="Bookman Old Style" w:hAnsi="Bookman Old Style" w:cs="Arial"/>
          <w:sz w:val="22"/>
          <w:szCs w:val="22"/>
          <w:lang w:val="es-BO"/>
        </w:rPr>
      </w:pPr>
      <w:r w:rsidRPr="00F922B4">
        <w:rPr>
          <w:rFonts w:ascii="Bookman Old Style" w:hAnsi="Bookman Old Style" w:cs="Arial"/>
          <w:b/>
          <w:sz w:val="22"/>
          <w:szCs w:val="22"/>
          <w:u w:val="single"/>
          <w:lang w:val="es-BO"/>
        </w:rPr>
        <w:t>OBJETO DE CONTRATACION</w:t>
      </w:r>
      <w:r w:rsidRPr="00F922B4">
        <w:rPr>
          <w:rFonts w:ascii="Bookman Old Style" w:hAnsi="Bookman Old Style" w:cs="Arial"/>
          <w:b/>
          <w:sz w:val="22"/>
          <w:szCs w:val="22"/>
          <w:lang w:val="es-BO"/>
        </w:rPr>
        <w:t xml:space="preserve">: </w:t>
      </w:r>
      <w:r w:rsidR="001E2623" w:rsidRPr="00F922B4">
        <w:rPr>
          <w:rFonts w:ascii="Bookman Old Style" w:hAnsi="Bookman Old Style" w:cs="Arial"/>
          <w:b/>
          <w:sz w:val="22"/>
          <w:szCs w:val="22"/>
          <w:lang w:val="es-BO"/>
        </w:rPr>
        <w:t>“</w:t>
      </w:r>
      <w:r w:rsidR="00F922B4" w:rsidRPr="00F922B4">
        <w:rPr>
          <w:rFonts w:ascii="Bookman Old Style" w:eastAsia="Arial" w:hAnsi="Bookman Old Style" w:cs="Arial"/>
          <w:b/>
          <w:sz w:val="22"/>
          <w:szCs w:val="22"/>
          <w:lang w:val="es-ES"/>
        </w:rPr>
        <w:t>SERVICIO DE TRANSPORTE DE PERSONAL – ELECCIONES SUBNACIONALES 2021</w:t>
      </w:r>
      <w:r w:rsidR="001E2623" w:rsidRPr="00F922B4">
        <w:rPr>
          <w:rFonts w:ascii="Bookman Old Style" w:eastAsia="Arial" w:hAnsi="Bookman Old Style" w:cs="Arial"/>
          <w:b/>
          <w:sz w:val="22"/>
          <w:szCs w:val="22"/>
          <w:lang w:val="es-ES"/>
        </w:rPr>
        <w:t>”</w:t>
      </w:r>
    </w:p>
    <w:p w:rsidR="00F97521" w:rsidRPr="00F922B4" w:rsidRDefault="00F97521" w:rsidP="00F97521">
      <w:pPr>
        <w:jc w:val="center"/>
        <w:rPr>
          <w:rFonts w:ascii="Bookman Old Style" w:hAnsi="Bookman Old Style" w:cs="Arial"/>
          <w:b/>
          <w:sz w:val="22"/>
          <w:szCs w:val="22"/>
          <w:lang w:val="es-BO" w:eastAsia="es-BO"/>
        </w:rPr>
      </w:pP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A47F85" w:rsidRPr="001F7A9A" w:rsidTr="00036C5A">
        <w:trPr>
          <w:trHeight w:val="397"/>
        </w:trPr>
        <w:tc>
          <w:tcPr>
            <w:tcW w:w="10057" w:type="dxa"/>
            <w:shd w:val="clear" w:color="auto" w:fill="000000" w:themeFill="text1"/>
            <w:vAlign w:val="center"/>
          </w:tcPr>
          <w:p w:rsidR="0014244E" w:rsidRPr="00F922B4" w:rsidRDefault="008A7021" w:rsidP="00644E4E">
            <w:pPr>
              <w:pStyle w:val="Textoindependiente3"/>
              <w:numPr>
                <w:ilvl w:val="0"/>
                <w:numId w:val="3"/>
              </w:numPr>
              <w:rPr>
                <w:rFonts w:ascii="Bookman Old Style" w:hAnsi="Bookman Old Style"/>
                <w:b/>
                <w:bCs/>
                <w:sz w:val="22"/>
                <w:szCs w:val="22"/>
                <w:lang w:val="es-BO"/>
              </w:rPr>
            </w:pPr>
            <w:r w:rsidRPr="00F922B4">
              <w:rPr>
                <w:rFonts w:ascii="Bookman Old Style" w:hAnsi="Bookman Old Style"/>
                <w:b/>
                <w:sz w:val="22"/>
                <w:szCs w:val="22"/>
                <w:u w:val="single"/>
                <w:lang w:val="es-BO"/>
              </w:rPr>
              <w:t xml:space="preserve"> </w:t>
            </w:r>
            <w:r w:rsidR="00F97521" w:rsidRPr="00F922B4">
              <w:rPr>
                <w:rFonts w:ascii="Bookman Old Style" w:hAnsi="Bookman Old Style"/>
                <w:b/>
                <w:bCs/>
                <w:sz w:val="22"/>
                <w:szCs w:val="22"/>
              </w:rPr>
              <w:t xml:space="preserve">CARACTERÍSTICAS GENERALES DEL(LOS) </w:t>
            </w:r>
            <w:r w:rsidR="00AE516C" w:rsidRPr="00F922B4">
              <w:rPr>
                <w:rFonts w:ascii="Bookman Old Style" w:hAnsi="Bookman Old Style"/>
                <w:b/>
                <w:bCs/>
                <w:sz w:val="22"/>
                <w:szCs w:val="22"/>
              </w:rPr>
              <w:t>SERVICIO</w:t>
            </w:r>
            <w:r w:rsidR="00F97521" w:rsidRPr="00F922B4">
              <w:rPr>
                <w:rFonts w:ascii="Bookman Old Style" w:hAnsi="Bookman Old Style"/>
                <w:b/>
                <w:bCs/>
                <w:sz w:val="22"/>
                <w:szCs w:val="22"/>
              </w:rPr>
              <w:t>(S)</w:t>
            </w:r>
          </w:p>
        </w:tc>
      </w:tr>
      <w:tr w:rsidR="00A47F85" w:rsidRPr="001F7A9A" w:rsidTr="006F1A6C">
        <w:trPr>
          <w:trHeight w:val="463"/>
        </w:trPr>
        <w:tc>
          <w:tcPr>
            <w:tcW w:w="10057" w:type="dxa"/>
            <w:shd w:val="clear" w:color="auto" w:fill="D9D9D9" w:themeFill="background1" w:themeFillShade="D9"/>
            <w:vAlign w:val="center"/>
          </w:tcPr>
          <w:p w:rsidR="0014244E" w:rsidRPr="00F922B4" w:rsidRDefault="00F97521" w:rsidP="00644E4E">
            <w:pPr>
              <w:pStyle w:val="Textoindependiente3"/>
              <w:numPr>
                <w:ilvl w:val="0"/>
                <w:numId w:val="2"/>
              </w:numPr>
              <w:rPr>
                <w:rFonts w:ascii="Bookman Old Style" w:hAnsi="Bookman Old Style"/>
                <w:bCs/>
                <w:iCs/>
                <w:sz w:val="22"/>
                <w:szCs w:val="22"/>
                <w:lang w:val="es-BO"/>
              </w:rPr>
            </w:pPr>
            <w:r w:rsidRPr="00F922B4">
              <w:rPr>
                <w:rFonts w:ascii="Bookman Old Style" w:hAnsi="Bookman Old Style"/>
                <w:b/>
                <w:bCs/>
                <w:sz w:val="22"/>
                <w:szCs w:val="22"/>
              </w:rPr>
              <w:t xml:space="preserve">REQUISITOS DEL(LOS) </w:t>
            </w:r>
            <w:r w:rsidR="00AE516C" w:rsidRPr="00F922B4">
              <w:rPr>
                <w:rFonts w:ascii="Bookman Old Style" w:hAnsi="Bookman Old Style"/>
                <w:b/>
                <w:bCs/>
                <w:sz w:val="22"/>
                <w:szCs w:val="22"/>
              </w:rPr>
              <w:t>SERVICIO</w:t>
            </w:r>
            <w:r w:rsidRPr="00F922B4">
              <w:rPr>
                <w:rFonts w:ascii="Bookman Old Style" w:hAnsi="Bookman Old Style"/>
                <w:b/>
                <w:bCs/>
                <w:sz w:val="22"/>
                <w:szCs w:val="22"/>
              </w:rPr>
              <w:t>(S)</w:t>
            </w:r>
          </w:p>
        </w:tc>
      </w:tr>
      <w:tr w:rsidR="007A06B5" w:rsidRPr="00F922B4" w:rsidTr="005E63C7">
        <w:trPr>
          <w:trHeight w:val="414"/>
        </w:trPr>
        <w:tc>
          <w:tcPr>
            <w:tcW w:w="10057" w:type="dxa"/>
            <w:shd w:val="clear" w:color="auto" w:fill="auto"/>
            <w:vAlign w:val="center"/>
          </w:tcPr>
          <w:p w:rsidR="007A06B5" w:rsidRPr="00F922B4" w:rsidRDefault="007A06B5" w:rsidP="00DB74B6">
            <w:pPr>
              <w:contextualSpacing/>
              <w:rPr>
                <w:rFonts w:ascii="Bookman Old Style" w:hAnsi="Bookman Old Style" w:cs="Arial"/>
                <w:b/>
                <w:iCs/>
                <w:sz w:val="22"/>
                <w:szCs w:val="22"/>
                <w:lang w:val="es-BO"/>
              </w:rPr>
            </w:pPr>
            <w:r w:rsidRPr="00F922B4">
              <w:rPr>
                <w:rFonts w:ascii="Bookman Old Style" w:hAnsi="Bookman Old Style" w:cs="Arial"/>
                <w:b/>
                <w:iCs/>
                <w:sz w:val="22"/>
                <w:szCs w:val="22"/>
                <w:lang w:val="es-BO"/>
              </w:rPr>
              <w:t>Características técnicas:</w:t>
            </w:r>
            <w:r w:rsidRPr="00F922B4">
              <w:rPr>
                <w:rFonts w:ascii="Bookman Old Style" w:hAnsi="Bookman Old Style" w:cs="Arial"/>
                <w:b/>
                <w:bCs/>
                <w:sz w:val="22"/>
                <w:szCs w:val="22"/>
              </w:rPr>
              <w:t xml:space="preserve"> </w:t>
            </w:r>
          </w:p>
        </w:tc>
      </w:tr>
      <w:tr w:rsidR="007A06B5" w:rsidRPr="00512431" w:rsidTr="0004048F">
        <w:trPr>
          <w:trHeight w:val="130"/>
        </w:trPr>
        <w:tc>
          <w:tcPr>
            <w:tcW w:w="10057" w:type="dxa"/>
            <w:shd w:val="clear" w:color="auto" w:fill="auto"/>
            <w:vAlign w:val="center"/>
          </w:tcPr>
          <w:p w:rsidR="00F922B4" w:rsidRDefault="00F922B4" w:rsidP="00F922B4">
            <w:pPr>
              <w:autoSpaceDE w:val="0"/>
              <w:autoSpaceDN w:val="0"/>
              <w:adjustRightInd w:val="0"/>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El servicio requerido está destinado al traslado de personal desde las oficinas del Tribunal Supremo Electoral, hasta sus domicilios, en los distintos barrios de las ciudades de La Paz y El Alto.</w:t>
            </w:r>
          </w:p>
          <w:p w:rsidR="00904B90" w:rsidRPr="00F922B4" w:rsidRDefault="00904B90" w:rsidP="00F922B4">
            <w:pPr>
              <w:autoSpaceDE w:val="0"/>
              <w:autoSpaceDN w:val="0"/>
              <w:adjustRightInd w:val="0"/>
              <w:jc w:val="both"/>
              <w:rPr>
                <w:rFonts w:ascii="Bookman Old Style" w:hAnsi="Bookman Old Style" w:cs="Arial"/>
                <w:color w:val="000000"/>
                <w:sz w:val="22"/>
                <w:szCs w:val="22"/>
                <w:lang w:val="es-BO"/>
              </w:rPr>
            </w:pP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La Ubicación de sus oficinas es la siguiente:</w:t>
            </w:r>
          </w:p>
          <w:p w:rsidR="00F922B4" w:rsidRPr="00F922B4" w:rsidRDefault="00F922B4" w:rsidP="00644E4E">
            <w:pPr>
              <w:pStyle w:val="Prrafodelista"/>
              <w:numPr>
                <w:ilvl w:val="0"/>
                <w:numId w:val="9"/>
              </w:numPr>
              <w:contextualSpacing/>
              <w:jc w:val="both"/>
              <w:rPr>
                <w:rFonts w:ascii="Bookman Old Style" w:hAnsi="Bookman Old Style" w:cs="Arial"/>
                <w:sz w:val="22"/>
                <w:szCs w:val="22"/>
                <w:lang w:val="es-ES_tradnl"/>
              </w:rPr>
            </w:pPr>
            <w:r w:rsidRPr="00F922B4">
              <w:rPr>
                <w:rFonts w:ascii="Bookman Old Style" w:hAnsi="Bookman Old Style" w:cs="Arial"/>
                <w:sz w:val="22"/>
                <w:szCs w:val="22"/>
                <w:lang w:val="es-ES_tradnl"/>
              </w:rPr>
              <w:t>Sopocachi - Av. Sánchez Lima esquina Pedro Salazar (Plaza Abaroa) Nº 2482</w:t>
            </w:r>
          </w:p>
          <w:p w:rsidR="00F922B4" w:rsidRPr="00F922B4" w:rsidRDefault="00F922B4" w:rsidP="00644E4E">
            <w:pPr>
              <w:pStyle w:val="Prrafodelista"/>
              <w:numPr>
                <w:ilvl w:val="0"/>
                <w:numId w:val="9"/>
              </w:numPr>
              <w:contextualSpacing/>
              <w:jc w:val="both"/>
              <w:rPr>
                <w:rFonts w:ascii="Bookman Old Style" w:hAnsi="Bookman Old Style" w:cs="Arial"/>
                <w:sz w:val="22"/>
                <w:szCs w:val="22"/>
                <w:lang w:val="es-ES_tradnl"/>
              </w:rPr>
            </w:pPr>
            <w:r w:rsidRPr="00F922B4">
              <w:rPr>
                <w:rFonts w:ascii="Bookman Old Style" w:hAnsi="Bookman Old Style" w:cs="Arial"/>
                <w:sz w:val="22"/>
                <w:szCs w:val="22"/>
                <w:lang w:val="es-ES_tradnl"/>
              </w:rPr>
              <w:t>Sopocachi - Av. Sánchez Lima Nº 2440</w:t>
            </w:r>
          </w:p>
          <w:p w:rsidR="00F922B4" w:rsidRPr="00F922B4" w:rsidRDefault="00F922B4" w:rsidP="00644E4E">
            <w:pPr>
              <w:pStyle w:val="Prrafodelista"/>
              <w:numPr>
                <w:ilvl w:val="0"/>
                <w:numId w:val="9"/>
              </w:numPr>
              <w:contextualSpacing/>
              <w:jc w:val="both"/>
              <w:rPr>
                <w:rFonts w:ascii="Bookman Old Style" w:hAnsi="Bookman Old Style" w:cs="Arial"/>
                <w:sz w:val="22"/>
                <w:szCs w:val="22"/>
                <w:lang w:val="es-ES_tradnl"/>
              </w:rPr>
            </w:pPr>
            <w:r w:rsidRPr="00F922B4">
              <w:rPr>
                <w:rFonts w:ascii="Bookman Old Style" w:hAnsi="Bookman Old Style" w:cs="Arial"/>
                <w:sz w:val="22"/>
                <w:szCs w:val="22"/>
                <w:lang w:val="es-ES_tradnl"/>
              </w:rPr>
              <w:t>Sopocachi - Calle García Nº 2433</w:t>
            </w:r>
          </w:p>
          <w:p w:rsidR="00F922B4" w:rsidRPr="00F922B4" w:rsidRDefault="00F922B4" w:rsidP="00644E4E">
            <w:pPr>
              <w:pStyle w:val="Prrafodelista"/>
              <w:numPr>
                <w:ilvl w:val="0"/>
                <w:numId w:val="9"/>
              </w:numPr>
              <w:contextualSpacing/>
              <w:jc w:val="both"/>
              <w:rPr>
                <w:rFonts w:ascii="Bookman Old Style" w:hAnsi="Bookman Old Style" w:cs="Arial"/>
                <w:sz w:val="22"/>
                <w:szCs w:val="22"/>
                <w:lang w:val="es-ES_tradnl"/>
              </w:rPr>
            </w:pPr>
            <w:r w:rsidRPr="00F922B4">
              <w:rPr>
                <w:rFonts w:ascii="Bookman Old Style" w:hAnsi="Bookman Old Style" w:cs="Arial"/>
                <w:sz w:val="22"/>
                <w:szCs w:val="22"/>
                <w:lang w:val="es-ES_tradnl"/>
              </w:rPr>
              <w:t>San Jorge - Av. Arce Nº.2985</w:t>
            </w:r>
          </w:p>
          <w:p w:rsidR="00F922B4" w:rsidRPr="00F922B4" w:rsidRDefault="00F922B4" w:rsidP="00644E4E">
            <w:pPr>
              <w:pStyle w:val="Prrafodelista"/>
              <w:numPr>
                <w:ilvl w:val="0"/>
                <w:numId w:val="9"/>
              </w:numPr>
              <w:contextualSpacing/>
              <w:jc w:val="both"/>
              <w:rPr>
                <w:rFonts w:ascii="Bookman Old Style" w:hAnsi="Bookman Old Style" w:cs="Arial"/>
                <w:sz w:val="22"/>
                <w:szCs w:val="22"/>
                <w:lang w:val="es-ES_tradnl"/>
              </w:rPr>
            </w:pPr>
            <w:r w:rsidRPr="00F922B4">
              <w:rPr>
                <w:rFonts w:ascii="Bookman Old Style" w:hAnsi="Bookman Old Style" w:cs="Arial"/>
                <w:sz w:val="22"/>
                <w:szCs w:val="22"/>
                <w:lang w:val="es-ES_tradnl"/>
              </w:rPr>
              <w:t>San Jorge - Av. 6 de agosto Nº 2798</w:t>
            </w:r>
          </w:p>
          <w:p w:rsidR="00F922B4" w:rsidRPr="00F922B4" w:rsidRDefault="00F922B4" w:rsidP="00644E4E">
            <w:pPr>
              <w:pStyle w:val="Prrafodelista"/>
              <w:numPr>
                <w:ilvl w:val="0"/>
                <w:numId w:val="9"/>
              </w:numPr>
              <w:contextualSpacing/>
              <w:jc w:val="both"/>
              <w:rPr>
                <w:rFonts w:ascii="Bookman Old Style" w:hAnsi="Bookman Old Style" w:cs="Arial"/>
                <w:sz w:val="22"/>
                <w:szCs w:val="22"/>
                <w:lang w:val="es-ES_tradnl"/>
              </w:rPr>
            </w:pPr>
            <w:r w:rsidRPr="00F922B4">
              <w:rPr>
                <w:rFonts w:ascii="Bookman Old Style" w:hAnsi="Bookman Old Style" w:cs="Arial"/>
                <w:sz w:val="22"/>
                <w:szCs w:val="22"/>
                <w:lang w:val="es-ES_tradnl"/>
              </w:rPr>
              <w:t>Obrajes - Calle 9 Nº 280.</w:t>
            </w:r>
          </w:p>
          <w:p w:rsidR="00F922B4" w:rsidRPr="00F922B4" w:rsidRDefault="00F922B4" w:rsidP="00644E4E">
            <w:pPr>
              <w:pStyle w:val="Prrafodelista"/>
              <w:numPr>
                <w:ilvl w:val="0"/>
                <w:numId w:val="9"/>
              </w:numPr>
              <w:contextualSpacing/>
              <w:jc w:val="both"/>
              <w:rPr>
                <w:rFonts w:ascii="Bookman Old Style" w:hAnsi="Bookman Old Style" w:cs="Arial"/>
                <w:sz w:val="22"/>
                <w:szCs w:val="22"/>
                <w:lang w:val="es-ES_tradnl"/>
              </w:rPr>
            </w:pPr>
            <w:r w:rsidRPr="00F922B4">
              <w:rPr>
                <w:rFonts w:ascii="Bookman Old Style" w:hAnsi="Bookman Old Style" w:cs="Arial"/>
                <w:sz w:val="22"/>
                <w:szCs w:val="22"/>
                <w:lang w:val="es-ES_tradnl"/>
              </w:rPr>
              <w:t>Av. Mariscal Santa Cruz Nº 23, plaza Venezuela</w:t>
            </w:r>
          </w:p>
          <w:p w:rsidR="00F922B4" w:rsidRPr="00F922B4" w:rsidRDefault="00F922B4" w:rsidP="00644E4E">
            <w:pPr>
              <w:pStyle w:val="Prrafodelista"/>
              <w:numPr>
                <w:ilvl w:val="0"/>
                <w:numId w:val="9"/>
              </w:numPr>
              <w:autoSpaceDE w:val="0"/>
              <w:autoSpaceDN w:val="0"/>
              <w:adjustRightInd w:val="0"/>
              <w:jc w:val="both"/>
              <w:rPr>
                <w:rFonts w:ascii="Bookman Old Style" w:hAnsi="Bookman Old Style" w:cs="Arial"/>
                <w:sz w:val="22"/>
                <w:szCs w:val="22"/>
                <w:lang w:val="es-ES_tradnl"/>
              </w:rPr>
            </w:pPr>
            <w:r w:rsidRPr="00F922B4">
              <w:rPr>
                <w:rFonts w:ascii="Bookman Old Style" w:hAnsi="Bookman Old Style" w:cs="Arial"/>
                <w:sz w:val="22"/>
                <w:szCs w:val="22"/>
                <w:lang w:val="es-ES_tradnl"/>
              </w:rPr>
              <w:t xml:space="preserve">Campo Ferial Chuquiago Marka </w:t>
            </w:r>
          </w:p>
          <w:p w:rsidR="00F922B4" w:rsidRPr="00F922B4" w:rsidRDefault="00F922B4" w:rsidP="00F922B4">
            <w:pPr>
              <w:autoSpaceDE w:val="0"/>
              <w:autoSpaceDN w:val="0"/>
              <w:adjustRightInd w:val="0"/>
              <w:jc w:val="both"/>
              <w:rPr>
                <w:rFonts w:ascii="Bookman Old Style" w:hAnsi="Bookman Old Style" w:cs="Arial"/>
                <w:color w:val="000000"/>
                <w:sz w:val="22"/>
                <w:szCs w:val="22"/>
              </w:rPr>
            </w:pP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Asimismo, en casos extraordinarios, y previa autorización emitida por autoridad competente, desde los lugares que se indique a la empresa a las instalaciones del Tribunal Supremo Electoral.</w:t>
            </w:r>
          </w:p>
          <w:p w:rsidR="00F922B4" w:rsidRPr="00F922B4" w:rsidRDefault="00F922B4" w:rsidP="00F922B4">
            <w:pPr>
              <w:autoSpaceDE w:val="0"/>
              <w:autoSpaceDN w:val="0"/>
              <w:adjustRightInd w:val="0"/>
              <w:ind w:left="720"/>
              <w:jc w:val="both"/>
              <w:rPr>
                <w:rFonts w:ascii="Bookman Old Style" w:hAnsi="Bookman Old Style" w:cs="Arial"/>
                <w:color w:val="000000"/>
                <w:sz w:val="22"/>
                <w:szCs w:val="22"/>
                <w:lang w:val="es-BO"/>
              </w:rPr>
            </w:pP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 xml:space="preserve">El servicio de </w:t>
            </w:r>
            <w:r w:rsidR="00512431">
              <w:rPr>
                <w:rFonts w:ascii="Bookman Old Style" w:hAnsi="Bookman Old Style" w:cs="Arial"/>
                <w:color w:val="000000"/>
                <w:sz w:val="22"/>
                <w:szCs w:val="22"/>
                <w:lang w:val="es-BO"/>
              </w:rPr>
              <w:t xml:space="preserve">transporte de personal </w:t>
            </w:r>
            <w:r w:rsidRPr="00F922B4">
              <w:rPr>
                <w:rFonts w:ascii="Bookman Old Style" w:hAnsi="Bookman Old Style" w:cs="Arial"/>
                <w:color w:val="000000"/>
                <w:sz w:val="22"/>
                <w:szCs w:val="22"/>
                <w:lang w:val="es-BO"/>
              </w:rPr>
              <w:t>se prestará en las ciudades de La Paz y El Alto, y deberá estar disponible las 24 horas del día, y fines de semana, además de días festivos (si los hubiere).</w:t>
            </w: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La prestación del servicio se realizará a llamada, y la respuesta a la misma no debe ser mayor a los 10 minutos.</w:t>
            </w: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La empresa debe garantizar la tenencia y disponibilidad inmediata de por lo menos 50 vehículos para la atención de los requerimientos del Tribunal Supremo Electoral.</w:t>
            </w: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p>
          <w:p w:rsidR="00F922B4" w:rsidRPr="00F922B4" w:rsidRDefault="00F922B4" w:rsidP="00F922B4">
            <w:pPr>
              <w:autoSpaceDE w:val="0"/>
              <w:autoSpaceDN w:val="0"/>
              <w:adjustRightInd w:val="0"/>
              <w:spacing w:after="200" w:line="264" w:lineRule="auto"/>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Los vehículos deben encontrarse en buenas condiciones de funcionamiento, y contar con las medidas de seguridad y bioseguridad establecidas para vehículos de transporte urbano y deberán mantener condiciones adecuadas de limpieza.</w:t>
            </w:r>
          </w:p>
          <w:p w:rsidR="00F922B4" w:rsidRDefault="00F922B4" w:rsidP="00F922B4">
            <w:pPr>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La empresa proponente deberá incorporar en su propuesta el precio de sus servicios de transporte desde cada una de las oficinas del Tribunal Supremo Electoral hacia diferentes barrios de la ciudad de La Paz y El Alto, tomando en cuenta el límite presupuestario de Bs40.000</w:t>
            </w:r>
            <w:proofErr w:type="gramStart"/>
            <w:r w:rsidRPr="00F922B4">
              <w:rPr>
                <w:rFonts w:ascii="Bookman Old Style" w:hAnsi="Bookman Old Style" w:cs="Arial"/>
                <w:color w:val="000000"/>
                <w:sz w:val="22"/>
                <w:szCs w:val="22"/>
                <w:lang w:val="es-BO"/>
              </w:rPr>
              <w:t>,00</w:t>
            </w:r>
            <w:proofErr w:type="gramEnd"/>
            <w:r w:rsidRPr="00F922B4">
              <w:rPr>
                <w:rFonts w:ascii="Bookman Old Style" w:hAnsi="Bookman Old Style" w:cs="Arial"/>
                <w:color w:val="000000"/>
                <w:sz w:val="22"/>
                <w:szCs w:val="22"/>
                <w:lang w:val="es-BO"/>
              </w:rPr>
              <w:t>.</w:t>
            </w:r>
            <w:r w:rsidR="00206F61">
              <w:rPr>
                <w:rFonts w:ascii="Bookman Old Style" w:hAnsi="Bookman Old Style" w:cs="Arial"/>
                <w:color w:val="000000"/>
                <w:sz w:val="22"/>
                <w:szCs w:val="22"/>
                <w:lang w:val="es-BO"/>
              </w:rPr>
              <w:t xml:space="preserve"> (Cuarenta Mil 00/100 Bolivianos).</w:t>
            </w:r>
          </w:p>
          <w:p w:rsidR="00206F61" w:rsidRDefault="00206F61" w:rsidP="00F922B4">
            <w:pPr>
              <w:jc w:val="both"/>
              <w:rPr>
                <w:rFonts w:ascii="Bookman Old Style" w:hAnsi="Bookman Old Style" w:cs="Arial"/>
                <w:color w:val="000000"/>
                <w:sz w:val="22"/>
                <w:szCs w:val="22"/>
                <w:lang w:val="es-BO"/>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2941"/>
              <w:gridCol w:w="880"/>
              <w:gridCol w:w="1443"/>
              <w:gridCol w:w="1820"/>
              <w:gridCol w:w="1890"/>
            </w:tblGrid>
            <w:tr w:rsidR="00206F61" w:rsidRPr="001F7A9A" w:rsidTr="000F0D2E">
              <w:trPr>
                <w:cantSplit/>
                <w:trHeight w:val="373"/>
              </w:trPr>
              <w:tc>
                <w:tcPr>
                  <w:tcW w:w="180" w:type="pct"/>
                  <w:shd w:val="clear" w:color="auto" w:fill="BFBFBF"/>
                  <w:vAlign w:val="center"/>
                </w:tcPr>
                <w:p w:rsidR="00206F61" w:rsidRPr="00FF6D7E" w:rsidRDefault="00206F61" w:rsidP="00206F61">
                  <w:pPr>
                    <w:ind w:left="-60" w:right="-108"/>
                    <w:contextualSpacing/>
                    <w:jc w:val="center"/>
                    <w:rPr>
                      <w:rFonts w:ascii="Arial" w:hAnsi="Arial" w:cs="Arial"/>
                      <w:b/>
                      <w:sz w:val="16"/>
                      <w:szCs w:val="16"/>
                    </w:rPr>
                  </w:pPr>
                  <w:r w:rsidRPr="00FF6D7E">
                    <w:rPr>
                      <w:rFonts w:ascii="Arial" w:hAnsi="Arial" w:cs="Arial"/>
                      <w:b/>
                      <w:iCs/>
                      <w:sz w:val="16"/>
                      <w:szCs w:val="16"/>
                    </w:rPr>
                    <w:t>N°</w:t>
                  </w:r>
                </w:p>
              </w:tc>
              <w:tc>
                <w:tcPr>
                  <w:tcW w:w="719" w:type="pct"/>
                  <w:shd w:val="clear" w:color="auto" w:fill="BFBFBF"/>
                  <w:vAlign w:val="center"/>
                </w:tcPr>
                <w:p w:rsidR="00206F61" w:rsidRPr="00FF6D7E" w:rsidRDefault="00206F61" w:rsidP="00206F61">
                  <w:pPr>
                    <w:ind w:left="420"/>
                    <w:contextualSpacing/>
                    <w:jc w:val="center"/>
                    <w:rPr>
                      <w:rFonts w:ascii="Arial" w:hAnsi="Arial" w:cs="Arial"/>
                      <w:b/>
                      <w:sz w:val="16"/>
                      <w:szCs w:val="16"/>
                    </w:rPr>
                  </w:pPr>
                  <w:r w:rsidRPr="00FF6D7E">
                    <w:rPr>
                      <w:rFonts w:ascii="Arial" w:hAnsi="Arial" w:cs="Arial"/>
                      <w:b/>
                      <w:iCs/>
                      <w:sz w:val="16"/>
                      <w:szCs w:val="16"/>
                    </w:rPr>
                    <w:t xml:space="preserve">Lugar de </w:t>
                  </w:r>
                  <w:proofErr w:type="spellStart"/>
                  <w:r w:rsidRPr="00FF6D7E">
                    <w:rPr>
                      <w:rFonts w:ascii="Arial" w:hAnsi="Arial" w:cs="Arial"/>
                      <w:b/>
                      <w:iCs/>
                      <w:sz w:val="16"/>
                      <w:szCs w:val="16"/>
                    </w:rPr>
                    <w:t>Destino</w:t>
                  </w:r>
                  <w:proofErr w:type="spellEnd"/>
                </w:p>
              </w:tc>
              <w:tc>
                <w:tcPr>
                  <w:tcW w:w="215" w:type="pct"/>
                  <w:shd w:val="clear" w:color="auto" w:fill="BFBFBF"/>
                  <w:vAlign w:val="center"/>
                </w:tcPr>
                <w:p w:rsidR="00206F61" w:rsidRPr="00FF6D7E" w:rsidRDefault="00206F61" w:rsidP="00206F61">
                  <w:pPr>
                    <w:ind w:left="-108" w:right="-108"/>
                    <w:contextualSpacing/>
                    <w:jc w:val="center"/>
                    <w:rPr>
                      <w:rFonts w:ascii="Arial" w:hAnsi="Arial" w:cs="Arial"/>
                      <w:b/>
                      <w:iCs/>
                      <w:sz w:val="16"/>
                      <w:szCs w:val="16"/>
                    </w:rPr>
                  </w:pPr>
                  <w:r w:rsidRPr="00FF6D7E">
                    <w:rPr>
                      <w:rFonts w:ascii="Arial" w:hAnsi="Arial" w:cs="Arial"/>
                      <w:b/>
                      <w:iCs/>
                      <w:sz w:val="16"/>
                      <w:szCs w:val="16"/>
                    </w:rPr>
                    <w:t>Cant.</w:t>
                  </w:r>
                </w:p>
                <w:p w:rsidR="00206F61" w:rsidRPr="00FF6D7E" w:rsidRDefault="00206F61" w:rsidP="00206F61">
                  <w:pPr>
                    <w:ind w:left="37" w:right="-108"/>
                    <w:contextualSpacing/>
                    <w:jc w:val="center"/>
                    <w:rPr>
                      <w:rFonts w:ascii="Arial" w:hAnsi="Arial" w:cs="Arial"/>
                      <w:b/>
                      <w:sz w:val="16"/>
                      <w:szCs w:val="16"/>
                    </w:rPr>
                  </w:pPr>
                </w:p>
              </w:tc>
              <w:tc>
                <w:tcPr>
                  <w:tcW w:w="353" w:type="pct"/>
                  <w:shd w:val="clear" w:color="auto" w:fill="BFBFBF"/>
                  <w:vAlign w:val="center"/>
                </w:tcPr>
                <w:p w:rsidR="00206F61" w:rsidRPr="00FF6D7E" w:rsidRDefault="00206F61" w:rsidP="00206F61">
                  <w:pPr>
                    <w:ind w:left="-108" w:right="-48"/>
                    <w:contextualSpacing/>
                    <w:jc w:val="center"/>
                    <w:rPr>
                      <w:rFonts w:ascii="Arial" w:hAnsi="Arial" w:cs="Arial"/>
                      <w:b/>
                      <w:sz w:val="16"/>
                      <w:szCs w:val="16"/>
                    </w:rPr>
                  </w:pPr>
                  <w:proofErr w:type="spellStart"/>
                  <w:r w:rsidRPr="00FF6D7E">
                    <w:rPr>
                      <w:rFonts w:ascii="Arial" w:hAnsi="Arial" w:cs="Arial"/>
                      <w:b/>
                      <w:sz w:val="16"/>
                      <w:szCs w:val="16"/>
                    </w:rPr>
                    <w:t>Unidad</w:t>
                  </w:r>
                  <w:proofErr w:type="spellEnd"/>
                  <w:r w:rsidRPr="00FF6D7E">
                    <w:rPr>
                      <w:rFonts w:ascii="Arial" w:hAnsi="Arial" w:cs="Arial"/>
                      <w:b/>
                      <w:sz w:val="16"/>
                      <w:szCs w:val="16"/>
                    </w:rPr>
                    <w:t xml:space="preserve"> de </w:t>
                  </w:r>
                  <w:proofErr w:type="spellStart"/>
                  <w:r w:rsidRPr="00FF6D7E">
                    <w:rPr>
                      <w:rFonts w:ascii="Arial" w:hAnsi="Arial" w:cs="Arial"/>
                      <w:b/>
                      <w:sz w:val="16"/>
                      <w:szCs w:val="16"/>
                    </w:rPr>
                    <w:t>Medida</w:t>
                  </w:r>
                  <w:proofErr w:type="spellEnd"/>
                </w:p>
              </w:tc>
              <w:tc>
                <w:tcPr>
                  <w:tcW w:w="445" w:type="pct"/>
                  <w:shd w:val="clear" w:color="auto" w:fill="BFBFBF"/>
                  <w:vAlign w:val="center"/>
                </w:tcPr>
                <w:p w:rsidR="00206F61" w:rsidRPr="00206F61" w:rsidRDefault="00206F61" w:rsidP="00206F61">
                  <w:pPr>
                    <w:ind w:left="-108"/>
                    <w:contextualSpacing/>
                    <w:jc w:val="center"/>
                    <w:rPr>
                      <w:rFonts w:ascii="Arial" w:hAnsi="Arial" w:cs="Arial"/>
                      <w:b/>
                      <w:sz w:val="16"/>
                      <w:szCs w:val="16"/>
                      <w:lang w:val="es-BO"/>
                    </w:rPr>
                  </w:pPr>
                  <w:r w:rsidRPr="00206F61">
                    <w:rPr>
                      <w:rFonts w:ascii="Arial" w:hAnsi="Arial" w:cs="Arial"/>
                      <w:b/>
                      <w:iCs/>
                      <w:sz w:val="16"/>
                      <w:szCs w:val="16"/>
                      <w:lang w:val="es-BO"/>
                    </w:rPr>
                    <w:t>Precio unitario Referencial en Bs.</w:t>
                  </w:r>
                </w:p>
              </w:tc>
              <w:tc>
                <w:tcPr>
                  <w:tcW w:w="462" w:type="pct"/>
                  <w:shd w:val="clear" w:color="auto" w:fill="BFBFBF"/>
                  <w:vAlign w:val="center"/>
                </w:tcPr>
                <w:p w:rsidR="00206F61" w:rsidRPr="00206F61" w:rsidRDefault="00206F61" w:rsidP="00206F61">
                  <w:pPr>
                    <w:ind w:left="-108" w:right="34"/>
                    <w:contextualSpacing/>
                    <w:jc w:val="center"/>
                    <w:rPr>
                      <w:rFonts w:ascii="Arial" w:hAnsi="Arial" w:cs="Arial"/>
                      <w:b/>
                      <w:sz w:val="16"/>
                      <w:szCs w:val="16"/>
                      <w:lang w:val="es-BO"/>
                    </w:rPr>
                  </w:pPr>
                  <w:r w:rsidRPr="00206F61">
                    <w:rPr>
                      <w:rFonts w:ascii="Arial" w:hAnsi="Arial" w:cs="Arial"/>
                      <w:b/>
                      <w:iCs/>
                      <w:sz w:val="16"/>
                      <w:szCs w:val="16"/>
                      <w:lang w:val="es-BO"/>
                    </w:rPr>
                    <w:t>Precio Total Referencial en Bs.</w:t>
                  </w:r>
                </w:p>
              </w:tc>
            </w:tr>
            <w:tr w:rsidR="00206F61" w:rsidRPr="00512431" w:rsidTr="000F0D2E">
              <w:trPr>
                <w:cantSplit/>
                <w:trHeight w:val="373"/>
              </w:trPr>
              <w:tc>
                <w:tcPr>
                  <w:tcW w:w="180" w:type="pct"/>
                  <w:shd w:val="clear" w:color="auto" w:fill="auto"/>
                  <w:vAlign w:val="bottom"/>
                </w:tcPr>
                <w:p w:rsidR="00206F61" w:rsidRPr="00FF6D7E" w:rsidRDefault="00206F61" w:rsidP="00206F61">
                  <w:pPr>
                    <w:rPr>
                      <w:rFonts w:ascii="Arial" w:hAnsi="Arial" w:cs="Arial"/>
                      <w:color w:val="000000"/>
                      <w:sz w:val="16"/>
                      <w:szCs w:val="16"/>
                      <w:lang w:val="es-BO" w:eastAsia="es-BO"/>
                    </w:rPr>
                  </w:pPr>
                  <w:r w:rsidRPr="00206F61">
                    <w:rPr>
                      <w:rFonts w:ascii="Arial" w:hAnsi="Arial" w:cs="Arial"/>
                      <w:color w:val="000000"/>
                      <w:sz w:val="16"/>
                      <w:szCs w:val="16"/>
                      <w:lang w:val="es-BO"/>
                    </w:rPr>
                    <w:t> 1</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OBRAJES</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ALTO OBRAJES</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lastRenderedPageBreak/>
                    <w:t> 3</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BELLA VISTA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CALACOTO</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5</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xml:space="preserve">COTA </w:t>
                  </w:r>
                  <w:proofErr w:type="spellStart"/>
                  <w:r w:rsidRPr="00206F61">
                    <w:rPr>
                      <w:rFonts w:ascii="Arial" w:hAnsi="Arial" w:cs="Arial"/>
                      <w:color w:val="000000"/>
                      <w:sz w:val="16"/>
                      <w:szCs w:val="16"/>
                      <w:lang w:val="es-BO"/>
                    </w:rPr>
                    <w:t>COTA</w:t>
                  </w:r>
                  <w:proofErr w:type="spellEnd"/>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6</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BAJO SEGUENCOMA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7</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ALTO SEGUENCOMA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8</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BARRIO PERIODISTA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9</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AV. MECAPACA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10</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BARRIO MUNICIPAL</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11</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HUANU</w:t>
                  </w:r>
                  <w:r>
                    <w:rPr>
                      <w:rFonts w:ascii="Arial" w:hAnsi="Arial" w:cs="Arial"/>
                      <w:color w:val="000000"/>
                      <w:sz w:val="16"/>
                      <w:szCs w:val="16"/>
                      <w:lang w:val="es-BO"/>
                    </w:rPr>
                    <w:t xml:space="preserve"> </w:t>
                  </w:r>
                  <w:r w:rsidRPr="00206F61">
                    <w:rPr>
                      <w:rFonts w:ascii="Arial" w:hAnsi="Arial" w:cs="Arial"/>
                      <w:color w:val="000000"/>
                      <w:sz w:val="16"/>
                      <w:szCs w:val="16"/>
                      <w:lang w:val="es-BO"/>
                    </w:rPr>
                    <w:t>HU</w:t>
                  </w:r>
                  <w:r>
                    <w:rPr>
                      <w:rFonts w:ascii="Arial" w:hAnsi="Arial" w:cs="Arial"/>
                      <w:color w:val="000000"/>
                      <w:sz w:val="16"/>
                      <w:szCs w:val="16"/>
                      <w:lang w:val="es-BO"/>
                    </w:rPr>
                    <w:t>A</w:t>
                  </w:r>
                  <w:r w:rsidRPr="00206F61">
                    <w:rPr>
                      <w:rFonts w:ascii="Arial" w:hAnsi="Arial" w:cs="Arial"/>
                      <w:color w:val="000000"/>
                      <w:sz w:val="16"/>
                      <w:szCs w:val="16"/>
                      <w:lang w:val="es-BO"/>
                    </w:rPr>
                    <w:t>NUNI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12</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SAN ALBERTO</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13</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ACHUMANI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14</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HUAYLLANI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50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50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15</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HUANTAQUI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16</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LOMAS DE ACHUMANI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17</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ROSALES DE ACHUMANI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18</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IRPAVI CALLE 18</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19</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VERGEL</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20</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IRPAVI II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21</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ALTO IRPAVI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22</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PEÑA AZUL</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50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50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23</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xml:space="preserve">COTA </w:t>
                  </w:r>
                  <w:proofErr w:type="spellStart"/>
                  <w:r w:rsidRPr="00206F61">
                    <w:rPr>
                      <w:rFonts w:ascii="Arial" w:hAnsi="Arial" w:cs="Arial"/>
                      <w:color w:val="000000"/>
                      <w:sz w:val="16"/>
                      <w:szCs w:val="16"/>
                      <w:lang w:val="es-BO"/>
                    </w:rPr>
                    <w:t>COTA</w:t>
                  </w:r>
                  <w:proofErr w:type="spellEnd"/>
                  <w:r w:rsidRPr="00206F61">
                    <w:rPr>
                      <w:rFonts w:ascii="Arial" w:hAnsi="Arial" w:cs="Arial"/>
                      <w:color w:val="000000"/>
                      <w:sz w:val="16"/>
                      <w:szCs w:val="16"/>
                      <w:lang w:val="es-BO"/>
                    </w:rPr>
                    <w:t xml:space="preserve"> CALLE 30</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24</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LOS PINOS  CALLE 25</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25</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ROSALES DE ACHUMANI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26</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BOLONIA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27</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BAJO LLOJETA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28</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LLOJETA CENTRAL</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29</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MIRAFLORES</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30</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ALTO MIRAFLORES</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31</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VILLA PABON</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32</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BUENOS AIRES</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33</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TERMINAL</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34</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VILLA COPACABANA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35</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VILLA SAN ANTONIO</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36</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VILLA FATIMA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37</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PAMPAHASI BAJO</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lastRenderedPageBreak/>
                    <w:t> 38</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VILLA SALOME</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39</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VILLA ARMONIA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40</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VINO TINTO</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35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41</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VILLA VICTORIA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42</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TEJAR</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40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43</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MUNAYPATA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50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50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44</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PASANKERI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50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50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45</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TEMBLADERANI</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20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46</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CEJA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60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60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47</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16 DE JULIO</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75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75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48</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BALLIVIAN</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75</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75</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49</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VILLA DOLORES</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70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70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50</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CIUDAD SATÉLITE</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70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70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51</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RIO SECO EX TRANCA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80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80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52</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VILLA ADELA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80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80</w:t>
                  </w:r>
                </w:p>
              </w:tc>
            </w:tr>
            <w:tr w:rsidR="00206F61" w:rsidRPr="00512431" w:rsidTr="000F0D2E">
              <w:trPr>
                <w:cantSplit/>
                <w:trHeight w:val="373"/>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53</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SENKATA</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80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80</w:t>
                  </w:r>
                </w:p>
              </w:tc>
            </w:tr>
            <w:tr w:rsidR="00206F61" w:rsidRPr="00512431" w:rsidTr="000F0D2E">
              <w:trPr>
                <w:cantSplit/>
                <w:trHeight w:val="309"/>
              </w:trPr>
              <w:tc>
                <w:tcPr>
                  <w:tcW w:w="180"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 54</w:t>
                  </w:r>
                </w:p>
              </w:tc>
              <w:tc>
                <w:tcPr>
                  <w:tcW w:w="719" w:type="pct"/>
                  <w:shd w:val="clear" w:color="auto" w:fill="auto"/>
                  <w:vAlign w:val="bottom"/>
                </w:tcPr>
                <w:p w:rsidR="00206F61" w:rsidRPr="00206F61" w:rsidRDefault="00206F61" w:rsidP="00206F61">
                  <w:pPr>
                    <w:rPr>
                      <w:rFonts w:ascii="Arial" w:hAnsi="Arial" w:cs="Arial"/>
                      <w:color w:val="000000"/>
                      <w:sz w:val="16"/>
                      <w:szCs w:val="16"/>
                      <w:lang w:val="es-BO"/>
                    </w:rPr>
                  </w:pPr>
                  <w:r w:rsidRPr="00206F61">
                    <w:rPr>
                      <w:rFonts w:ascii="Arial" w:hAnsi="Arial" w:cs="Arial"/>
                      <w:color w:val="000000"/>
                      <w:sz w:val="16"/>
                      <w:szCs w:val="16"/>
                      <w:lang w:val="es-BO"/>
                    </w:rPr>
                    <w:t>EL KENKO</w:t>
                  </w:r>
                </w:p>
              </w:tc>
              <w:tc>
                <w:tcPr>
                  <w:tcW w:w="21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1</w:t>
                  </w:r>
                </w:p>
              </w:tc>
              <w:tc>
                <w:tcPr>
                  <w:tcW w:w="353"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Servicio</w:t>
                  </w:r>
                </w:p>
              </w:tc>
              <w:tc>
                <w:tcPr>
                  <w:tcW w:w="445"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80</w:t>
                  </w:r>
                </w:p>
              </w:tc>
              <w:tc>
                <w:tcPr>
                  <w:tcW w:w="462" w:type="pct"/>
                  <w:shd w:val="clear" w:color="auto" w:fill="auto"/>
                  <w:vAlign w:val="bottom"/>
                </w:tcPr>
                <w:p w:rsidR="00206F61" w:rsidRPr="00206F61" w:rsidRDefault="00206F61" w:rsidP="00206F61">
                  <w:pPr>
                    <w:jc w:val="center"/>
                    <w:rPr>
                      <w:rFonts w:ascii="Arial" w:hAnsi="Arial" w:cs="Arial"/>
                      <w:color w:val="000000"/>
                      <w:sz w:val="16"/>
                      <w:szCs w:val="16"/>
                      <w:lang w:val="es-BO"/>
                    </w:rPr>
                  </w:pPr>
                  <w:r w:rsidRPr="00206F61">
                    <w:rPr>
                      <w:rFonts w:ascii="Arial" w:hAnsi="Arial" w:cs="Arial"/>
                      <w:color w:val="000000"/>
                      <w:sz w:val="16"/>
                      <w:szCs w:val="16"/>
                      <w:lang w:val="es-BO"/>
                    </w:rPr>
                    <w:t>80</w:t>
                  </w:r>
                </w:p>
              </w:tc>
            </w:tr>
          </w:tbl>
          <w:p w:rsidR="00206F61" w:rsidRDefault="00206F61" w:rsidP="00F922B4">
            <w:pPr>
              <w:jc w:val="both"/>
              <w:rPr>
                <w:rFonts w:ascii="Bookman Old Style" w:hAnsi="Bookman Old Style" w:cs="Arial"/>
                <w:color w:val="000000"/>
                <w:sz w:val="22"/>
                <w:szCs w:val="22"/>
                <w:lang w:val="es-BO"/>
              </w:rPr>
            </w:pPr>
          </w:p>
          <w:p w:rsidR="004F7EEE" w:rsidRDefault="004F7EEE" w:rsidP="00F922B4">
            <w:pPr>
              <w:jc w:val="both"/>
              <w:rPr>
                <w:rFonts w:ascii="Bookman Old Style" w:hAnsi="Bookman Old Style" w:cs="Arial"/>
                <w:color w:val="000000"/>
                <w:sz w:val="22"/>
                <w:szCs w:val="22"/>
                <w:lang w:val="es-BO"/>
              </w:rPr>
            </w:pPr>
            <w:r>
              <w:rPr>
                <w:rFonts w:ascii="Bookman Old Style" w:hAnsi="Bookman Old Style" w:cs="Arial"/>
                <w:color w:val="000000"/>
                <w:sz w:val="22"/>
                <w:szCs w:val="22"/>
                <w:lang w:val="es-BO"/>
              </w:rPr>
              <w:t>En caso de que se realice otro tramo fuera de lo descrito anteriormente, la empresa deberá hacer llegar el costo del mismo para fines de conciliación.</w:t>
            </w:r>
          </w:p>
          <w:p w:rsidR="004F7EEE" w:rsidRDefault="004F7EEE" w:rsidP="00F922B4">
            <w:pPr>
              <w:jc w:val="both"/>
              <w:rPr>
                <w:rFonts w:ascii="Bookman Old Style" w:hAnsi="Bookman Old Style" w:cs="Arial"/>
                <w:color w:val="000000"/>
                <w:sz w:val="22"/>
                <w:szCs w:val="22"/>
                <w:lang w:val="es-BO"/>
              </w:rPr>
            </w:pPr>
          </w:p>
          <w:p w:rsidR="004F7EEE" w:rsidRDefault="004F7EEE" w:rsidP="004F7EEE">
            <w:pPr>
              <w:jc w:val="both"/>
              <w:rPr>
                <w:rFonts w:ascii="Bookman Old Style" w:hAnsi="Bookman Old Style" w:cs="Arial"/>
                <w:color w:val="000000"/>
                <w:sz w:val="22"/>
                <w:szCs w:val="22"/>
                <w:lang w:val="es-BO"/>
              </w:rPr>
            </w:pPr>
            <w:r>
              <w:rPr>
                <w:rFonts w:ascii="Bookman Old Style" w:hAnsi="Bookman Old Style" w:cs="Arial"/>
                <w:color w:val="000000"/>
                <w:sz w:val="22"/>
                <w:szCs w:val="22"/>
                <w:lang w:val="es-BO"/>
              </w:rPr>
              <w:t>La empresa deberá presentar en su propuesta un listado de los choferes que se encuentran contratados.</w:t>
            </w:r>
          </w:p>
          <w:p w:rsidR="004F7EEE" w:rsidRDefault="004F7EEE" w:rsidP="00F922B4">
            <w:pPr>
              <w:jc w:val="both"/>
              <w:rPr>
                <w:rFonts w:ascii="Bookman Old Style" w:hAnsi="Bookman Old Style" w:cs="Arial"/>
                <w:color w:val="000000"/>
                <w:sz w:val="22"/>
                <w:szCs w:val="22"/>
                <w:lang w:val="es-BO"/>
              </w:rPr>
            </w:pP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 xml:space="preserve">El Tribunal Supremo Electoral autorizará el uso del servicio de transporte mediante el </w:t>
            </w:r>
            <w:r w:rsidR="004F7EEE">
              <w:rPr>
                <w:rFonts w:ascii="Bookman Old Style" w:hAnsi="Bookman Old Style" w:cs="Arial"/>
                <w:color w:val="000000"/>
                <w:sz w:val="22"/>
                <w:szCs w:val="22"/>
                <w:lang w:val="es-BO"/>
              </w:rPr>
              <w:t xml:space="preserve">vale </w:t>
            </w:r>
            <w:r w:rsidRPr="00F922B4">
              <w:rPr>
                <w:rFonts w:ascii="Bookman Old Style" w:hAnsi="Bookman Old Style" w:cs="Arial"/>
                <w:color w:val="000000"/>
                <w:sz w:val="22"/>
                <w:szCs w:val="22"/>
                <w:lang w:val="es-BO"/>
              </w:rPr>
              <w:t xml:space="preserve"> </w:t>
            </w:r>
            <w:r w:rsidRPr="00F922B4">
              <w:rPr>
                <w:rFonts w:ascii="Bookman Old Style" w:hAnsi="Bookman Old Style" w:cs="Arial"/>
                <w:b/>
                <w:color w:val="000000"/>
                <w:sz w:val="22"/>
                <w:szCs w:val="22"/>
                <w:lang w:val="es-BO"/>
              </w:rPr>
              <w:t>“Autorización de Uso de Transporte”</w:t>
            </w:r>
            <w:r w:rsidR="004F7EEE">
              <w:rPr>
                <w:rFonts w:ascii="Bookman Old Style" w:hAnsi="Bookman Old Style" w:cs="Arial"/>
                <w:b/>
                <w:color w:val="000000"/>
                <w:sz w:val="22"/>
                <w:szCs w:val="22"/>
                <w:lang w:val="es-BO"/>
              </w:rPr>
              <w:t xml:space="preserve"> </w:t>
            </w:r>
            <w:r w:rsidR="004F7EEE" w:rsidRPr="004F7EEE">
              <w:rPr>
                <w:rFonts w:ascii="Bookman Old Style" w:hAnsi="Bookman Old Style" w:cs="Arial"/>
                <w:color w:val="000000"/>
                <w:sz w:val="22"/>
                <w:szCs w:val="22"/>
                <w:lang w:val="es-BO"/>
              </w:rPr>
              <w:t>emitida por la unidad de servicios generales</w:t>
            </w:r>
            <w:r w:rsidRPr="00F922B4">
              <w:rPr>
                <w:rFonts w:ascii="Bookman Old Style" w:hAnsi="Bookman Old Style" w:cs="Arial"/>
                <w:color w:val="000000"/>
                <w:sz w:val="22"/>
                <w:szCs w:val="22"/>
                <w:lang w:val="es-BO"/>
              </w:rPr>
              <w:t>, documento que será entregado debidamente firmado por el usuario al conductor del vehículo cuando haya sido transportado a su destino.</w:t>
            </w: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p>
          <w:p w:rsidR="00F922B4" w:rsidRDefault="00F922B4" w:rsidP="00F922B4">
            <w:pPr>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 xml:space="preserve">La empresa presentará de forma mensual, un detalle de los servicios prestados adjuntando como evidencia los </w:t>
            </w:r>
            <w:r w:rsidR="004F7EEE">
              <w:rPr>
                <w:rFonts w:ascii="Bookman Old Style" w:hAnsi="Bookman Old Style" w:cs="Arial"/>
                <w:color w:val="000000"/>
                <w:sz w:val="22"/>
                <w:szCs w:val="22"/>
                <w:lang w:val="es-BO"/>
              </w:rPr>
              <w:t xml:space="preserve">vales </w:t>
            </w:r>
            <w:r w:rsidRPr="00F922B4">
              <w:rPr>
                <w:rFonts w:ascii="Bookman Old Style" w:hAnsi="Bookman Old Style" w:cs="Arial"/>
                <w:color w:val="000000"/>
                <w:sz w:val="22"/>
                <w:szCs w:val="22"/>
                <w:lang w:val="es-BO"/>
              </w:rPr>
              <w:t>entregados por los usuarios.</w:t>
            </w:r>
          </w:p>
          <w:p w:rsidR="00206F61" w:rsidRPr="00F922B4" w:rsidRDefault="00206F61" w:rsidP="00F922B4">
            <w:pPr>
              <w:jc w:val="both"/>
              <w:rPr>
                <w:rFonts w:ascii="Bookman Old Style" w:hAnsi="Bookman Old Style" w:cs="Arial"/>
                <w:color w:val="000000"/>
                <w:sz w:val="22"/>
                <w:szCs w:val="22"/>
                <w:lang w:val="es-BO"/>
              </w:rPr>
            </w:pPr>
          </w:p>
          <w:p w:rsidR="00F922B4" w:rsidRPr="00F922B4" w:rsidRDefault="00F922B4" w:rsidP="00F922B4">
            <w:pPr>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Deberá contar con identificación a la vista del pasajero.</w:t>
            </w:r>
          </w:p>
          <w:p w:rsidR="00F922B4" w:rsidRPr="00F922B4" w:rsidRDefault="00F922B4" w:rsidP="00F922B4">
            <w:pPr>
              <w:jc w:val="both"/>
              <w:rPr>
                <w:rFonts w:ascii="Bookman Old Style" w:hAnsi="Bookman Old Style" w:cs="Arial"/>
                <w:color w:val="000000"/>
                <w:sz w:val="22"/>
                <w:szCs w:val="22"/>
                <w:lang w:val="es-BO"/>
              </w:rPr>
            </w:pPr>
          </w:p>
          <w:p w:rsidR="00F922B4" w:rsidRDefault="00F922B4" w:rsidP="00F922B4">
            <w:pPr>
              <w:autoSpaceDE w:val="0"/>
              <w:autoSpaceDN w:val="0"/>
              <w:adjustRightInd w:val="0"/>
              <w:jc w:val="both"/>
              <w:rPr>
                <w:rFonts w:ascii="Bookman Old Style" w:hAnsi="Bookman Old Style" w:cs="Arial"/>
                <w:color w:val="000000"/>
                <w:sz w:val="22"/>
                <w:szCs w:val="22"/>
                <w:lang w:val="es-BO"/>
              </w:rPr>
            </w:pPr>
            <w:r w:rsidRPr="00F922B4">
              <w:rPr>
                <w:rFonts w:ascii="Bookman Old Style" w:hAnsi="Bookman Old Style" w:cs="Arial"/>
                <w:color w:val="000000"/>
                <w:sz w:val="22"/>
                <w:szCs w:val="22"/>
                <w:lang w:val="es-BO"/>
              </w:rPr>
              <w:t>Todos y cada uno de los vehículos que presten los servicios requeridos por el Tribunal Supremo Electoral deben contar con las siguientes y accesorios mínimos:</w:t>
            </w:r>
          </w:p>
          <w:p w:rsidR="006B7842" w:rsidRPr="00F922B4" w:rsidRDefault="006B7842" w:rsidP="00F922B4">
            <w:pPr>
              <w:autoSpaceDE w:val="0"/>
              <w:autoSpaceDN w:val="0"/>
              <w:adjustRightInd w:val="0"/>
              <w:jc w:val="both"/>
              <w:rPr>
                <w:rFonts w:ascii="Bookman Old Style" w:hAnsi="Bookman Old Style" w:cs="Arial"/>
                <w:color w:val="000000"/>
                <w:sz w:val="22"/>
                <w:szCs w:val="22"/>
                <w:lang w:val="es-BO"/>
              </w:rPr>
            </w:pPr>
          </w:p>
          <w:p w:rsidR="00F922B4" w:rsidRDefault="00F922B4" w:rsidP="00644E4E">
            <w:pPr>
              <w:numPr>
                <w:ilvl w:val="0"/>
                <w:numId w:val="10"/>
              </w:numPr>
              <w:autoSpaceDE w:val="0"/>
              <w:autoSpaceDN w:val="0"/>
              <w:adjustRightInd w:val="0"/>
              <w:jc w:val="both"/>
              <w:rPr>
                <w:rFonts w:ascii="Bookman Old Style" w:hAnsi="Bookman Old Style" w:cs="Arial"/>
                <w:color w:val="000000"/>
                <w:sz w:val="22"/>
                <w:szCs w:val="22"/>
              </w:rPr>
            </w:pPr>
            <w:proofErr w:type="spellStart"/>
            <w:r w:rsidRPr="00F922B4">
              <w:rPr>
                <w:rFonts w:ascii="Bookman Old Style" w:hAnsi="Bookman Old Style" w:cs="Arial"/>
                <w:color w:val="000000"/>
                <w:sz w:val="22"/>
                <w:szCs w:val="22"/>
              </w:rPr>
              <w:t>Botiquín</w:t>
            </w:r>
            <w:proofErr w:type="spellEnd"/>
            <w:r w:rsidRPr="00F922B4">
              <w:rPr>
                <w:rFonts w:ascii="Bookman Old Style" w:hAnsi="Bookman Old Style" w:cs="Arial"/>
                <w:color w:val="000000"/>
                <w:sz w:val="22"/>
                <w:szCs w:val="22"/>
              </w:rPr>
              <w:t xml:space="preserve"> de </w:t>
            </w:r>
            <w:proofErr w:type="spellStart"/>
            <w:r w:rsidRPr="00F922B4">
              <w:rPr>
                <w:rFonts w:ascii="Bookman Old Style" w:hAnsi="Bookman Old Style" w:cs="Arial"/>
                <w:color w:val="000000"/>
                <w:sz w:val="22"/>
                <w:szCs w:val="22"/>
              </w:rPr>
              <w:t>primeros</w:t>
            </w:r>
            <w:proofErr w:type="spellEnd"/>
            <w:r w:rsidRPr="00F922B4">
              <w:rPr>
                <w:rFonts w:ascii="Bookman Old Style" w:hAnsi="Bookman Old Style" w:cs="Arial"/>
                <w:color w:val="000000"/>
                <w:sz w:val="22"/>
                <w:szCs w:val="22"/>
              </w:rPr>
              <w:t xml:space="preserve"> </w:t>
            </w:r>
            <w:proofErr w:type="spellStart"/>
            <w:r w:rsidRPr="00F922B4">
              <w:rPr>
                <w:rFonts w:ascii="Bookman Old Style" w:hAnsi="Bookman Old Style" w:cs="Arial"/>
                <w:color w:val="000000"/>
                <w:sz w:val="22"/>
                <w:szCs w:val="22"/>
              </w:rPr>
              <w:t>auxilios</w:t>
            </w:r>
            <w:proofErr w:type="spellEnd"/>
            <w:r w:rsidRPr="00F922B4">
              <w:rPr>
                <w:rFonts w:ascii="Bookman Old Style" w:hAnsi="Bookman Old Style" w:cs="Arial"/>
                <w:color w:val="000000"/>
                <w:sz w:val="22"/>
                <w:szCs w:val="22"/>
              </w:rPr>
              <w:t>.</w:t>
            </w:r>
          </w:p>
          <w:p w:rsidR="006B7842" w:rsidRPr="00F922B4" w:rsidRDefault="006B7842" w:rsidP="006B7842">
            <w:pPr>
              <w:autoSpaceDE w:val="0"/>
              <w:autoSpaceDN w:val="0"/>
              <w:adjustRightInd w:val="0"/>
              <w:ind w:left="720"/>
              <w:jc w:val="both"/>
              <w:rPr>
                <w:rFonts w:ascii="Bookman Old Style" w:hAnsi="Bookman Old Style" w:cs="Arial"/>
                <w:color w:val="000000"/>
                <w:sz w:val="22"/>
                <w:szCs w:val="22"/>
              </w:rPr>
            </w:pPr>
          </w:p>
          <w:p w:rsidR="00F922B4" w:rsidRDefault="00F922B4" w:rsidP="00644E4E">
            <w:pPr>
              <w:numPr>
                <w:ilvl w:val="0"/>
                <w:numId w:val="10"/>
              </w:numPr>
              <w:autoSpaceDE w:val="0"/>
              <w:autoSpaceDN w:val="0"/>
              <w:adjustRightInd w:val="0"/>
              <w:jc w:val="both"/>
              <w:rPr>
                <w:rFonts w:ascii="Bookman Old Style" w:hAnsi="Bookman Old Style" w:cs="Arial"/>
                <w:color w:val="000000"/>
                <w:sz w:val="22"/>
                <w:szCs w:val="22"/>
              </w:rPr>
            </w:pPr>
            <w:proofErr w:type="spellStart"/>
            <w:r w:rsidRPr="00F922B4">
              <w:rPr>
                <w:rFonts w:ascii="Bookman Old Style" w:hAnsi="Bookman Old Style" w:cs="Arial"/>
                <w:color w:val="000000"/>
                <w:sz w:val="22"/>
                <w:szCs w:val="22"/>
              </w:rPr>
              <w:t>Extinguidor</w:t>
            </w:r>
            <w:proofErr w:type="spellEnd"/>
            <w:r w:rsidRPr="00F922B4">
              <w:rPr>
                <w:rFonts w:ascii="Bookman Old Style" w:hAnsi="Bookman Old Style" w:cs="Arial"/>
                <w:color w:val="000000"/>
                <w:sz w:val="22"/>
                <w:szCs w:val="22"/>
              </w:rPr>
              <w:t xml:space="preserve"> </w:t>
            </w:r>
            <w:proofErr w:type="spellStart"/>
            <w:r w:rsidRPr="00F922B4">
              <w:rPr>
                <w:rFonts w:ascii="Bookman Old Style" w:hAnsi="Bookman Old Style" w:cs="Arial"/>
                <w:color w:val="000000"/>
                <w:sz w:val="22"/>
                <w:szCs w:val="22"/>
              </w:rPr>
              <w:t>tipo</w:t>
            </w:r>
            <w:proofErr w:type="spellEnd"/>
            <w:r w:rsidRPr="00F922B4">
              <w:rPr>
                <w:rFonts w:ascii="Bookman Old Style" w:hAnsi="Bookman Old Style" w:cs="Arial"/>
                <w:color w:val="000000"/>
                <w:sz w:val="22"/>
                <w:szCs w:val="22"/>
              </w:rPr>
              <w:t xml:space="preserve"> ABC.</w:t>
            </w:r>
          </w:p>
          <w:p w:rsidR="006B7842" w:rsidRPr="00F922B4" w:rsidRDefault="006B7842" w:rsidP="006B7842">
            <w:pPr>
              <w:autoSpaceDE w:val="0"/>
              <w:autoSpaceDN w:val="0"/>
              <w:adjustRightInd w:val="0"/>
              <w:ind w:left="720"/>
              <w:jc w:val="both"/>
              <w:rPr>
                <w:rFonts w:ascii="Bookman Old Style" w:hAnsi="Bookman Old Style" w:cs="Arial"/>
                <w:color w:val="000000"/>
                <w:sz w:val="22"/>
                <w:szCs w:val="22"/>
              </w:rPr>
            </w:pPr>
          </w:p>
          <w:p w:rsidR="00F922B4" w:rsidRDefault="00F922B4" w:rsidP="00644E4E">
            <w:pPr>
              <w:numPr>
                <w:ilvl w:val="0"/>
                <w:numId w:val="10"/>
              </w:numPr>
              <w:autoSpaceDE w:val="0"/>
              <w:autoSpaceDN w:val="0"/>
              <w:adjustRightInd w:val="0"/>
              <w:jc w:val="both"/>
              <w:rPr>
                <w:rFonts w:ascii="Bookman Old Style" w:hAnsi="Bookman Old Style" w:cs="Arial"/>
                <w:color w:val="000000"/>
                <w:sz w:val="22"/>
                <w:szCs w:val="22"/>
              </w:rPr>
            </w:pPr>
            <w:proofErr w:type="spellStart"/>
            <w:r w:rsidRPr="00F922B4">
              <w:rPr>
                <w:rFonts w:ascii="Bookman Old Style" w:hAnsi="Bookman Old Style" w:cs="Arial"/>
                <w:color w:val="000000"/>
                <w:sz w:val="22"/>
                <w:szCs w:val="22"/>
              </w:rPr>
              <w:t>Estuche</w:t>
            </w:r>
            <w:proofErr w:type="spellEnd"/>
            <w:r w:rsidRPr="00F922B4">
              <w:rPr>
                <w:rFonts w:ascii="Bookman Old Style" w:hAnsi="Bookman Old Style" w:cs="Arial"/>
                <w:color w:val="000000"/>
                <w:sz w:val="22"/>
                <w:szCs w:val="22"/>
              </w:rPr>
              <w:t xml:space="preserve"> de </w:t>
            </w:r>
            <w:proofErr w:type="spellStart"/>
            <w:r w:rsidRPr="00F922B4">
              <w:rPr>
                <w:rFonts w:ascii="Bookman Old Style" w:hAnsi="Bookman Old Style" w:cs="Arial"/>
                <w:color w:val="000000"/>
                <w:sz w:val="22"/>
                <w:szCs w:val="22"/>
              </w:rPr>
              <w:t>herramientas</w:t>
            </w:r>
            <w:proofErr w:type="spellEnd"/>
            <w:r w:rsidRPr="00F922B4">
              <w:rPr>
                <w:rFonts w:ascii="Bookman Old Style" w:hAnsi="Bookman Old Style" w:cs="Arial"/>
                <w:color w:val="000000"/>
                <w:sz w:val="22"/>
                <w:szCs w:val="22"/>
              </w:rPr>
              <w:t>.</w:t>
            </w:r>
          </w:p>
          <w:p w:rsidR="006B7842" w:rsidRPr="00F922B4" w:rsidRDefault="006B7842" w:rsidP="006B7842">
            <w:pPr>
              <w:autoSpaceDE w:val="0"/>
              <w:autoSpaceDN w:val="0"/>
              <w:adjustRightInd w:val="0"/>
              <w:ind w:left="720"/>
              <w:jc w:val="both"/>
              <w:rPr>
                <w:rFonts w:ascii="Bookman Old Style" w:hAnsi="Bookman Old Style" w:cs="Arial"/>
                <w:color w:val="000000"/>
                <w:sz w:val="22"/>
                <w:szCs w:val="22"/>
              </w:rPr>
            </w:pPr>
          </w:p>
          <w:p w:rsidR="00F922B4" w:rsidRDefault="00F922B4" w:rsidP="00644E4E">
            <w:pPr>
              <w:numPr>
                <w:ilvl w:val="0"/>
                <w:numId w:val="10"/>
              </w:numPr>
              <w:autoSpaceDE w:val="0"/>
              <w:autoSpaceDN w:val="0"/>
              <w:adjustRightInd w:val="0"/>
              <w:jc w:val="both"/>
              <w:rPr>
                <w:rFonts w:ascii="Bookman Old Style" w:hAnsi="Bookman Old Style" w:cs="Arial"/>
                <w:color w:val="000000"/>
                <w:sz w:val="22"/>
                <w:szCs w:val="22"/>
              </w:rPr>
            </w:pPr>
            <w:proofErr w:type="spellStart"/>
            <w:r w:rsidRPr="00F922B4">
              <w:rPr>
                <w:rFonts w:ascii="Bookman Old Style" w:hAnsi="Bookman Old Style" w:cs="Arial"/>
                <w:color w:val="000000"/>
                <w:sz w:val="22"/>
                <w:szCs w:val="22"/>
              </w:rPr>
              <w:lastRenderedPageBreak/>
              <w:t>Llanta</w:t>
            </w:r>
            <w:proofErr w:type="spellEnd"/>
            <w:r w:rsidRPr="00F922B4">
              <w:rPr>
                <w:rFonts w:ascii="Bookman Old Style" w:hAnsi="Bookman Old Style" w:cs="Arial"/>
                <w:color w:val="000000"/>
                <w:sz w:val="22"/>
                <w:szCs w:val="22"/>
              </w:rPr>
              <w:t xml:space="preserve"> de </w:t>
            </w:r>
            <w:proofErr w:type="spellStart"/>
            <w:r w:rsidRPr="00F922B4">
              <w:rPr>
                <w:rFonts w:ascii="Bookman Old Style" w:hAnsi="Bookman Old Style" w:cs="Arial"/>
                <w:color w:val="000000"/>
                <w:sz w:val="22"/>
                <w:szCs w:val="22"/>
              </w:rPr>
              <w:t>auxilio</w:t>
            </w:r>
            <w:proofErr w:type="spellEnd"/>
            <w:r w:rsidRPr="00F922B4">
              <w:rPr>
                <w:rFonts w:ascii="Bookman Old Style" w:hAnsi="Bookman Old Style" w:cs="Arial"/>
                <w:color w:val="000000"/>
                <w:sz w:val="22"/>
                <w:szCs w:val="22"/>
              </w:rPr>
              <w:t>.</w:t>
            </w:r>
          </w:p>
          <w:p w:rsidR="006B7842" w:rsidRPr="00F922B4" w:rsidRDefault="006B7842" w:rsidP="006B7842">
            <w:pPr>
              <w:autoSpaceDE w:val="0"/>
              <w:autoSpaceDN w:val="0"/>
              <w:adjustRightInd w:val="0"/>
              <w:ind w:left="720"/>
              <w:jc w:val="both"/>
              <w:rPr>
                <w:rFonts w:ascii="Bookman Old Style" w:hAnsi="Bookman Old Style" w:cs="Arial"/>
                <w:color w:val="000000"/>
                <w:sz w:val="22"/>
                <w:szCs w:val="22"/>
              </w:rPr>
            </w:pPr>
          </w:p>
          <w:p w:rsidR="00F922B4" w:rsidRPr="00F922B4" w:rsidRDefault="00F922B4" w:rsidP="00644E4E">
            <w:pPr>
              <w:numPr>
                <w:ilvl w:val="0"/>
                <w:numId w:val="10"/>
              </w:numPr>
              <w:autoSpaceDE w:val="0"/>
              <w:autoSpaceDN w:val="0"/>
              <w:adjustRightInd w:val="0"/>
              <w:jc w:val="both"/>
              <w:rPr>
                <w:rFonts w:ascii="Bookman Old Style" w:hAnsi="Bookman Old Style" w:cs="Arial"/>
                <w:color w:val="000000"/>
                <w:sz w:val="22"/>
                <w:szCs w:val="22"/>
              </w:rPr>
            </w:pPr>
            <w:proofErr w:type="spellStart"/>
            <w:r w:rsidRPr="00F922B4">
              <w:rPr>
                <w:rFonts w:ascii="Bookman Old Style" w:hAnsi="Bookman Old Style" w:cs="Arial"/>
                <w:color w:val="000000"/>
                <w:sz w:val="22"/>
                <w:szCs w:val="22"/>
              </w:rPr>
              <w:t>Triángulos</w:t>
            </w:r>
            <w:proofErr w:type="spellEnd"/>
            <w:r w:rsidRPr="00F922B4">
              <w:rPr>
                <w:rFonts w:ascii="Bookman Old Style" w:hAnsi="Bookman Old Style" w:cs="Arial"/>
                <w:color w:val="000000"/>
                <w:sz w:val="22"/>
                <w:szCs w:val="22"/>
              </w:rPr>
              <w:t xml:space="preserve"> de </w:t>
            </w:r>
            <w:proofErr w:type="spellStart"/>
            <w:r w:rsidRPr="00F922B4">
              <w:rPr>
                <w:rFonts w:ascii="Bookman Old Style" w:hAnsi="Bookman Old Style" w:cs="Arial"/>
                <w:color w:val="000000"/>
                <w:sz w:val="22"/>
                <w:szCs w:val="22"/>
              </w:rPr>
              <w:t>emergencia</w:t>
            </w:r>
            <w:proofErr w:type="spellEnd"/>
            <w:r w:rsidRPr="00F922B4">
              <w:rPr>
                <w:rFonts w:ascii="Bookman Old Style" w:hAnsi="Bookman Old Style" w:cs="Arial"/>
                <w:color w:val="000000"/>
                <w:sz w:val="22"/>
                <w:szCs w:val="22"/>
              </w:rPr>
              <w:t>.</w:t>
            </w:r>
          </w:p>
          <w:p w:rsidR="00F922B4" w:rsidRPr="00F922B4" w:rsidRDefault="00F922B4" w:rsidP="00F922B4">
            <w:pPr>
              <w:jc w:val="both"/>
              <w:rPr>
                <w:rFonts w:ascii="Bookman Old Style" w:hAnsi="Bookman Old Style" w:cs="Arial"/>
                <w:color w:val="000000"/>
                <w:sz w:val="22"/>
                <w:szCs w:val="22"/>
                <w:lang w:val="es-BO"/>
              </w:rPr>
            </w:pPr>
          </w:p>
          <w:p w:rsidR="00F922B4" w:rsidRPr="00F922B4" w:rsidRDefault="00F922B4" w:rsidP="00F922B4">
            <w:pPr>
              <w:autoSpaceDE w:val="0"/>
              <w:autoSpaceDN w:val="0"/>
              <w:adjustRightInd w:val="0"/>
              <w:jc w:val="both"/>
              <w:rPr>
                <w:rFonts w:ascii="Bookman Old Style" w:hAnsi="Bookman Old Style" w:cs="Arial"/>
                <w:b/>
                <w:bCs/>
                <w:color w:val="000000"/>
                <w:sz w:val="22"/>
                <w:szCs w:val="22"/>
                <w:lang w:val="es-BO"/>
              </w:rPr>
            </w:pPr>
            <w:r w:rsidRPr="00F922B4">
              <w:rPr>
                <w:rFonts w:ascii="Bookman Old Style" w:hAnsi="Bookman Old Style" w:cs="Arial"/>
                <w:b/>
                <w:bCs/>
                <w:color w:val="000000"/>
                <w:sz w:val="22"/>
                <w:szCs w:val="22"/>
                <w:lang w:val="es-BO"/>
              </w:rPr>
              <w:t>Aseo y limpieza de los Vehículos</w:t>
            </w:r>
          </w:p>
          <w:p w:rsidR="00F922B4" w:rsidRPr="00F922B4" w:rsidRDefault="00F922B4" w:rsidP="00F922B4">
            <w:pPr>
              <w:autoSpaceDE w:val="0"/>
              <w:autoSpaceDN w:val="0"/>
              <w:adjustRightInd w:val="0"/>
              <w:jc w:val="both"/>
              <w:rPr>
                <w:rFonts w:ascii="Bookman Old Style" w:hAnsi="Bookman Old Style" w:cs="Arial"/>
                <w:color w:val="000000"/>
                <w:sz w:val="22"/>
                <w:szCs w:val="22"/>
                <w:lang w:val="es-BO"/>
              </w:rPr>
            </w:pPr>
          </w:p>
          <w:p w:rsidR="006B7842" w:rsidRDefault="00F922B4" w:rsidP="00F922B4">
            <w:pPr>
              <w:jc w:val="both"/>
              <w:rPr>
                <w:rFonts w:ascii="Bookman Old Style" w:hAnsi="Bookman Old Style"/>
                <w:sz w:val="22"/>
                <w:szCs w:val="22"/>
                <w:lang w:val="es-BO" w:eastAsia="es-BO"/>
              </w:rPr>
            </w:pPr>
            <w:r w:rsidRPr="00F922B4">
              <w:rPr>
                <w:rFonts w:ascii="Bookman Old Style" w:hAnsi="Bookman Old Style" w:cs="Arial"/>
                <w:color w:val="000000"/>
                <w:sz w:val="22"/>
                <w:szCs w:val="22"/>
                <w:lang w:val="es-BO"/>
              </w:rPr>
              <w:t>Todos los vehículos deberán encontrarse limpios tanto exterior como interiormente, garantizando la higiene y salubridad de cada unidad.</w:t>
            </w:r>
          </w:p>
          <w:p w:rsidR="006B7842" w:rsidRPr="00F922B4" w:rsidRDefault="006B7842" w:rsidP="00F922B4">
            <w:pPr>
              <w:jc w:val="both"/>
              <w:rPr>
                <w:rFonts w:ascii="Bookman Old Style" w:hAnsi="Bookman Old Style"/>
                <w:sz w:val="22"/>
                <w:szCs w:val="22"/>
                <w:lang w:val="es-BO" w:eastAsia="es-BO"/>
              </w:rPr>
            </w:pPr>
          </w:p>
        </w:tc>
      </w:tr>
      <w:tr w:rsidR="00BB3A76" w:rsidRPr="00F922B4" w:rsidTr="00DB74B6">
        <w:trPr>
          <w:trHeight w:val="493"/>
        </w:trPr>
        <w:tc>
          <w:tcPr>
            <w:tcW w:w="10057" w:type="dxa"/>
            <w:tcBorders>
              <w:bottom w:val="single" w:sz="4" w:space="0" w:color="auto"/>
            </w:tcBorders>
            <w:shd w:val="clear" w:color="auto" w:fill="000000" w:themeFill="text1"/>
            <w:vAlign w:val="center"/>
          </w:tcPr>
          <w:p w:rsidR="00BB3A76" w:rsidRPr="00F922B4" w:rsidRDefault="00F922B4" w:rsidP="00644E4E">
            <w:pPr>
              <w:pStyle w:val="Textoindependiente3"/>
              <w:numPr>
                <w:ilvl w:val="0"/>
                <w:numId w:val="3"/>
              </w:numPr>
              <w:rPr>
                <w:rFonts w:ascii="Bookman Old Style" w:hAnsi="Bookman Old Style"/>
                <w:b/>
                <w:bCs/>
                <w:sz w:val="22"/>
                <w:szCs w:val="22"/>
                <w:lang w:val="es-BO"/>
              </w:rPr>
            </w:pPr>
            <w:r w:rsidRPr="00F922B4">
              <w:rPr>
                <w:rFonts w:ascii="Bookman Old Style" w:hAnsi="Bookman Old Style"/>
                <w:b/>
                <w:bCs/>
                <w:sz w:val="22"/>
                <w:szCs w:val="22"/>
                <w:lang w:val="es-BO"/>
              </w:rPr>
              <w:lastRenderedPageBreak/>
              <w:t>DOCUMENTOS</w:t>
            </w:r>
            <w:r w:rsidR="00BB3A76" w:rsidRPr="00F922B4">
              <w:rPr>
                <w:rFonts w:ascii="Bookman Old Style" w:hAnsi="Bookman Old Style"/>
                <w:b/>
                <w:bCs/>
                <w:sz w:val="22"/>
                <w:szCs w:val="22"/>
                <w:lang w:val="es-BO"/>
              </w:rPr>
              <w:t xml:space="preserve"> DEL PROVEEDOR</w:t>
            </w:r>
          </w:p>
        </w:tc>
      </w:tr>
      <w:tr w:rsidR="00BB3A76" w:rsidRPr="00206F61" w:rsidTr="00BB3A76">
        <w:trPr>
          <w:trHeight w:val="493"/>
        </w:trPr>
        <w:tc>
          <w:tcPr>
            <w:tcW w:w="10057" w:type="dxa"/>
            <w:tcBorders>
              <w:bottom w:val="single" w:sz="4" w:space="0" w:color="auto"/>
            </w:tcBorders>
            <w:shd w:val="clear" w:color="auto" w:fill="auto"/>
            <w:vAlign w:val="center"/>
          </w:tcPr>
          <w:p w:rsidR="006B7842" w:rsidRPr="00F922B4" w:rsidRDefault="00F922B4" w:rsidP="00F922B4">
            <w:pPr>
              <w:autoSpaceDE w:val="0"/>
              <w:autoSpaceDN w:val="0"/>
              <w:adjustRightInd w:val="0"/>
              <w:jc w:val="both"/>
              <w:rPr>
                <w:rFonts w:ascii="Bookman Old Style" w:hAnsi="Bookman Old Style" w:cs="Arial"/>
                <w:b/>
                <w:bCs/>
                <w:color w:val="000000"/>
                <w:sz w:val="22"/>
                <w:szCs w:val="22"/>
              </w:rPr>
            </w:pPr>
            <w:proofErr w:type="spellStart"/>
            <w:r w:rsidRPr="00F922B4">
              <w:rPr>
                <w:rFonts w:ascii="Bookman Old Style" w:hAnsi="Bookman Old Style" w:cs="Arial"/>
                <w:b/>
                <w:bCs/>
                <w:color w:val="000000"/>
                <w:sz w:val="22"/>
                <w:szCs w:val="22"/>
              </w:rPr>
              <w:t>Documentación</w:t>
            </w:r>
            <w:proofErr w:type="spellEnd"/>
            <w:r w:rsidRPr="00F922B4">
              <w:rPr>
                <w:rFonts w:ascii="Bookman Old Style" w:hAnsi="Bookman Old Style" w:cs="Arial"/>
                <w:b/>
                <w:bCs/>
                <w:color w:val="000000"/>
                <w:sz w:val="22"/>
                <w:szCs w:val="22"/>
              </w:rPr>
              <w:t xml:space="preserve"> de los </w:t>
            </w:r>
            <w:proofErr w:type="spellStart"/>
            <w:r w:rsidRPr="00F922B4">
              <w:rPr>
                <w:rFonts w:ascii="Bookman Old Style" w:hAnsi="Bookman Old Style" w:cs="Arial"/>
                <w:b/>
                <w:bCs/>
                <w:color w:val="000000"/>
                <w:sz w:val="22"/>
                <w:szCs w:val="22"/>
              </w:rPr>
              <w:t>vehículos</w:t>
            </w:r>
            <w:proofErr w:type="spellEnd"/>
          </w:p>
          <w:p w:rsidR="00F922B4" w:rsidRPr="004F7EEE" w:rsidRDefault="00F922B4" w:rsidP="002778CB">
            <w:pPr>
              <w:numPr>
                <w:ilvl w:val="0"/>
                <w:numId w:val="11"/>
              </w:numPr>
              <w:autoSpaceDE w:val="0"/>
              <w:autoSpaceDN w:val="0"/>
              <w:adjustRightInd w:val="0"/>
              <w:jc w:val="both"/>
              <w:rPr>
                <w:rFonts w:ascii="Bookman Old Style" w:hAnsi="Bookman Old Style" w:cs="Arial"/>
                <w:color w:val="000000"/>
                <w:sz w:val="22"/>
                <w:szCs w:val="22"/>
                <w:lang w:val="es-BO"/>
              </w:rPr>
            </w:pPr>
            <w:r w:rsidRPr="004F7EEE">
              <w:rPr>
                <w:rFonts w:ascii="Bookman Old Style" w:hAnsi="Bookman Old Style" w:cs="Arial"/>
                <w:color w:val="000000"/>
                <w:sz w:val="22"/>
                <w:szCs w:val="22"/>
                <w:lang w:val="es-BO"/>
              </w:rPr>
              <w:t xml:space="preserve">Fotocopia del </w:t>
            </w:r>
            <w:proofErr w:type="spellStart"/>
            <w:r w:rsidRPr="004F7EEE">
              <w:rPr>
                <w:rFonts w:ascii="Bookman Old Style" w:hAnsi="Bookman Old Style" w:cs="Arial"/>
                <w:color w:val="000000"/>
                <w:sz w:val="22"/>
                <w:szCs w:val="22"/>
                <w:lang w:val="es-BO"/>
              </w:rPr>
              <w:t>Ruat</w:t>
            </w:r>
            <w:proofErr w:type="spellEnd"/>
            <w:r w:rsidRPr="004F7EEE">
              <w:rPr>
                <w:rFonts w:ascii="Bookman Old Style" w:hAnsi="Bookman Old Style" w:cs="Arial"/>
                <w:color w:val="000000"/>
                <w:sz w:val="22"/>
                <w:szCs w:val="22"/>
                <w:lang w:val="es-BO"/>
              </w:rPr>
              <w:t xml:space="preserve"> de cada vehículo</w:t>
            </w:r>
            <w:r w:rsidR="004F7EEE">
              <w:rPr>
                <w:rFonts w:ascii="Bookman Old Style" w:hAnsi="Bookman Old Style" w:cs="Arial"/>
                <w:color w:val="000000"/>
                <w:sz w:val="22"/>
                <w:szCs w:val="22"/>
                <w:lang w:val="es-BO"/>
              </w:rPr>
              <w:t xml:space="preserve"> (Adjunta a su propuesta).</w:t>
            </w:r>
          </w:p>
          <w:p w:rsidR="00F922B4" w:rsidRPr="00F922B4" w:rsidRDefault="00F922B4" w:rsidP="00F922B4">
            <w:pPr>
              <w:autoSpaceDE w:val="0"/>
              <w:autoSpaceDN w:val="0"/>
              <w:adjustRightInd w:val="0"/>
              <w:jc w:val="both"/>
              <w:rPr>
                <w:rFonts w:ascii="Bookman Old Style" w:hAnsi="Bookman Old Style" w:cs="Arial"/>
                <w:b/>
                <w:bCs/>
                <w:color w:val="000000"/>
                <w:sz w:val="22"/>
                <w:szCs w:val="22"/>
                <w:lang w:val="es-BO"/>
              </w:rPr>
            </w:pPr>
            <w:r w:rsidRPr="00F922B4">
              <w:rPr>
                <w:rFonts w:ascii="Bookman Old Style" w:hAnsi="Bookman Old Style" w:cs="Arial"/>
                <w:b/>
                <w:bCs/>
                <w:color w:val="000000"/>
                <w:sz w:val="22"/>
                <w:szCs w:val="22"/>
                <w:lang w:val="es-BO"/>
              </w:rPr>
              <w:t>De los conductores</w:t>
            </w:r>
          </w:p>
          <w:p w:rsidR="00DA340F" w:rsidRPr="00F922B4" w:rsidRDefault="00F922B4" w:rsidP="004F7EEE">
            <w:pPr>
              <w:autoSpaceDE w:val="0"/>
              <w:autoSpaceDN w:val="0"/>
              <w:adjustRightInd w:val="0"/>
              <w:jc w:val="both"/>
              <w:rPr>
                <w:rFonts w:ascii="Bookman Old Style" w:hAnsi="Bookman Old Style"/>
                <w:bCs/>
                <w:sz w:val="22"/>
                <w:szCs w:val="22"/>
                <w:lang w:val="es-BO"/>
              </w:rPr>
            </w:pPr>
            <w:r w:rsidRPr="00F922B4">
              <w:rPr>
                <w:rFonts w:ascii="Bookman Old Style" w:hAnsi="Bookman Old Style" w:cs="Arial"/>
                <w:color w:val="000000"/>
                <w:sz w:val="22"/>
                <w:szCs w:val="22"/>
                <w:lang w:val="es-BO"/>
              </w:rPr>
              <w:t>Los conductores de cada vehículo, deben contar con Licencia d</w:t>
            </w:r>
            <w:r w:rsidR="00206F61">
              <w:rPr>
                <w:rFonts w:ascii="Bookman Old Style" w:hAnsi="Bookman Old Style" w:cs="Arial"/>
                <w:color w:val="000000"/>
                <w:sz w:val="22"/>
                <w:szCs w:val="22"/>
                <w:lang w:val="es-BO"/>
              </w:rPr>
              <w:t>e conducir.</w:t>
            </w:r>
            <w:r w:rsidR="004F7EEE">
              <w:rPr>
                <w:rFonts w:ascii="Bookman Old Style" w:hAnsi="Bookman Old Style" w:cs="Arial"/>
                <w:color w:val="000000"/>
                <w:sz w:val="22"/>
                <w:szCs w:val="22"/>
                <w:lang w:val="es-BO"/>
              </w:rPr>
              <w:t xml:space="preserve"> (Adjuntar a su propuesta)</w:t>
            </w:r>
          </w:p>
        </w:tc>
      </w:tr>
      <w:tr w:rsidR="00A47F85" w:rsidRPr="00206F61" w:rsidTr="00DB74B6">
        <w:trPr>
          <w:trHeight w:val="493"/>
        </w:trPr>
        <w:tc>
          <w:tcPr>
            <w:tcW w:w="10057" w:type="dxa"/>
            <w:tcBorders>
              <w:bottom w:val="single" w:sz="4" w:space="0" w:color="auto"/>
            </w:tcBorders>
            <w:shd w:val="clear" w:color="auto" w:fill="000000" w:themeFill="text1"/>
            <w:vAlign w:val="center"/>
          </w:tcPr>
          <w:p w:rsidR="006F1A6C" w:rsidRPr="00F922B4" w:rsidRDefault="001A4DA5" w:rsidP="00644E4E">
            <w:pPr>
              <w:pStyle w:val="Textoindependiente3"/>
              <w:numPr>
                <w:ilvl w:val="0"/>
                <w:numId w:val="3"/>
              </w:numPr>
              <w:rPr>
                <w:rFonts w:ascii="Bookman Old Style" w:eastAsia="Calibri" w:hAnsi="Bookman Old Style"/>
                <w:sz w:val="22"/>
                <w:szCs w:val="22"/>
                <w:lang w:eastAsia="en-US"/>
              </w:rPr>
            </w:pPr>
            <w:r w:rsidRPr="00F922B4">
              <w:rPr>
                <w:rFonts w:ascii="Bookman Old Style" w:hAnsi="Bookman Old Style"/>
                <w:b/>
                <w:bCs/>
                <w:sz w:val="22"/>
                <w:szCs w:val="22"/>
                <w:lang w:val="es-BO"/>
              </w:rPr>
              <w:t xml:space="preserve"> </w:t>
            </w:r>
            <w:r w:rsidR="006F1A6C" w:rsidRPr="00F922B4">
              <w:rPr>
                <w:rFonts w:ascii="Bookman Old Style" w:hAnsi="Bookman Old Style"/>
                <w:b/>
                <w:bCs/>
                <w:sz w:val="22"/>
                <w:szCs w:val="22"/>
                <w:lang w:val="es-BO"/>
              </w:rPr>
              <w:t>PRESENTACIÓN DE PROPUESTA</w:t>
            </w:r>
          </w:p>
        </w:tc>
      </w:tr>
      <w:tr w:rsidR="00A47F85" w:rsidRPr="00F922B4" w:rsidTr="006F1A6C">
        <w:trPr>
          <w:trHeight w:val="433"/>
        </w:trPr>
        <w:tc>
          <w:tcPr>
            <w:tcW w:w="10057" w:type="dxa"/>
            <w:tcBorders>
              <w:bottom w:val="single" w:sz="4" w:space="0" w:color="auto"/>
            </w:tcBorders>
            <w:shd w:val="clear" w:color="auto" w:fill="FFFFFF" w:themeFill="background1"/>
            <w:vAlign w:val="center"/>
          </w:tcPr>
          <w:p w:rsidR="00F14EF8" w:rsidRPr="00F922B4" w:rsidRDefault="00F14EF8" w:rsidP="00F14EF8">
            <w:pPr>
              <w:pStyle w:val="Textoindependiente3"/>
              <w:rPr>
                <w:rFonts w:ascii="Bookman Old Style" w:hAnsi="Bookman Old Style"/>
                <w:bCs/>
                <w:sz w:val="22"/>
                <w:szCs w:val="22"/>
                <w:lang w:val="es-BO"/>
              </w:rPr>
            </w:pPr>
            <w:r w:rsidRPr="00F922B4">
              <w:rPr>
                <w:rFonts w:ascii="Bookman Old Style" w:hAnsi="Bookman Old Style"/>
                <w:bCs/>
                <w:sz w:val="22"/>
                <w:szCs w:val="22"/>
                <w:lang w:val="es-BO"/>
              </w:rPr>
              <w:t>La propuesta deberá ser entrega en sobre cerrado, de acuerdo al siguiente formato:</w:t>
            </w:r>
          </w:p>
          <w:p w:rsidR="00F14EF8" w:rsidRPr="00F922B4" w:rsidRDefault="00F14EF8" w:rsidP="00F14EF8">
            <w:pPr>
              <w:pStyle w:val="Textoindependiente3"/>
              <w:rPr>
                <w:rFonts w:ascii="Bookman Old Style" w:hAnsi="Bookman Old Style"/>
                <w:b/>
                <w:bCs/>
                <w:sz w:val="22"/>
                <w:szCs w:val="22"/>
                <w:lang w:val="es-BO"/>
              </w:rPr>
            </w:pPr>
            <w:r w:rsidRPr="00F922B4">
              <w:rPr>
                <w:rFonts w:ascii="Bookman Old Style" w:hAnsi="Bookman Old Style"/>
                <w:b/>
                <w:bCs/>
                <w:noProof/>
                <w:sz w:val="22"/>
                <w:szCs w:val="22"/>
              </w:rPr>
              <mc:AlternateContent>
                <mc:Choice Requires="wps">
                  <w:drawing>
                    <wp:anchor distT="0" distB="0" distL="114300" distR="114300" simplePos="0" relativeHeight="251773952" behindDoc="0" locked="0" layoutInCell="1" allowOverlap="1" wp14:anchorId="62CEE998" wp14:editId="06470240">
                      <wp:simplePos x="0" y="0"/>
                      <wp:positionH relativeFrom="column">
                        <wp:posOffset>1129030</wp:posOffset>
                      </wp:positionH>
                      <wp:positionV relativeFrom="paragraph">
                        <wp:posOffset>55880</wp:posOffset>
                      </wp:positionV>
                      <wp:extent cx="3930015" cy="734695"/>
                      <wp:effectExtent l="0" t="0" r="13335" b="27305"/>
                      <wp:wrapNone/>
                      <wp:docPr id="3" name="Rectángulo 3"/>
                      <wp:cNvGraphicFramePr/>
                      <a:graphic xmlns:a="http://schemas.openxmlformats.org/drawingml/2006/main">
                        <a:graphicData uri="http://schemas.microsoft.com/office/word/2010/wordprocessingShape">
                          <wps:wsp>
                            <wps:cNvSpPr/>
                            <wps:spPr>
                              <a:xfrm>
                                <a:off x="0" y="0"/>
                                <a:ext cx="3930015" cy="734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4CD75" id="Rectángulo 3" o:spid="_x0000_s1026" style="position:absolute;margin-left:88.9pt;margin-top:4.4pt;width:309.45pt;height:5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" filled="f" strokecolor="#243f60 [1604]" strokeweight="2pt"/>
                  </w:pict>
                </mc:Fallback>
              </mc:AlternateContent>
            </w:r>
          </w:p>
          <w:p w:rsidR="00F14EF8" w:rsidRPr="00F922B4" w:rsidRDefault="00F14EF8" w:rsidP="00F14EF8">
            <w:pPr>
              <w:pStyle w:val="Textoindependiente3"/>
              <w:jc w:val="center"/>
              <w:rPr>
                <w:rFonts w:ascii="Bookman Old Style" w:hAnsi="Bookman Old Style"/>
                <w:b/>
                <w:bCs/>
                <w:sz w:val="22"/>
                <w:szCs w:val="22"/>
                <w:lang w:val="es-BO"/>
              </w:rPr>
            </w:pPr>
            <w:r w:rsidRPr="00F922B4">
              <w:rPr>
                <w:rFonts w:ascii="Bookman Old Style" w:hAnsi="Bookman Old Style"/>
                <w:b/>
                <w:bCs/>
                <w:sz w:val="22"/>
                <w:szCs w:val="22"/>
                <w:lang w:val="es-BO"/>
              </w:rPr>
              <w:t>OBJETO DE CONTRATACIÓN:</w:t>
            </w:r>
          </w:p>
          <w:p w:rsidR="00F14EF8" w:rsidRPr="00F922B4" w:rsidRDefault="00F14EF8" w:rsidP="00F14EF8">
            <w:pPr>
              <w:pStyle w:val="Textoindependiente3"/>
              <w:jc w:val="center"/>
              <w:rPr>
                <w:rFonts w:ascii="Bookman Old Style" w:hAnsi="Bookman Old Style"/>
                <w:b/>
                <w:bCs/>
                <w:sz w:val="22"/>
                <w:szCs w:val="22"/>
                <w:lang w:val="es-BO"/>
              </w:rPr>
            </w:pPr>
            <w:r w:rsidRPr="00F922B4">
              <w:rPr>
                <w:rFonts w:ascii="Bookman Old Style" w:hAnsi="Bookman Old Style"/>
                <w:b/>
                <w:bCs/>
                <w:sz w:val="22"/>
                <w:szCs w:val="22"/>
                <w:lang w:val="es-BO"/>
              </w:rPr>
              <w:t>NOMBRE DEL PROVEEDOR:</w:t>
            </w:r>
          </w:p>
          <w:p w:rsidR="00F14EF8" w:rsidRPr="00F922B4" w:rsidRDefault="00F14EF8" w:rsidP="00F14EF8">
            <w:pPr>
              <w:pStyle w:val="Textoindependiente3"/>
              <w:jc w:val="center"/>
              <w:rPr>
                <w:rFonts w:ascii="Bookman Old Style" w:hAnsi="Bookman Old Style"/>
                <w:b/>
                <w:bCs/>
                <w:sz w:val="22"/>
                <w:szCs w:val="22"/>
                <w:lang w:val="es-BO"/>
              </w:rPr>
            </w:pPr>
            <w:r w:rsidRPr="00F922B4">
              <w:rPr>
                <w:rFonts w:ascii="Bookman Old Style" w:hAnsi="Bookman Old Style"/>
                <w:b/>
                <w:bCs/>
                <w:sz w:val="22"/>
                <w:szCs w:val="22"/>
                <w:lang w:val="es-BO"/>
              </w:rPr>
              <w:t>TELEFÓNO:</w:t>
            </w:r>
          </w:p>
          <w:p w:rsidR="00F14EF8" w:rsidRPr="00F922B4" w:rsidRDefault="00F14EF8" w:rsidP="00F14EF8">
            <w:pPr>
              <w:pStyle w:val="Textoindependiente3"/>
              <w:jc w:val="center"/>
              <w:rPr>
                <w:rFonts w:ascii="Bookman Old Style" w:hAnsi="Bookman Old Style"/>
                <w:b/>
                <w:bCs/>
                <w:sz w:val="22"/>
                <w:szCs w:val="22"/>
                <w:lang w:val="es-BO"/>
              </w:rPr>
            </w:pPr>
            <w:r w:rsidRPr="00F922B4">
              <w:rPr>
                <w:rFonts w:ascii="Bookman Old Style" w:hAnsi="Bookman Old Style"/>
                <w:b/>
                <w:bCs/>
                <w:sz w:val="22"/>
                <w:szCs w:val="22"/>
                <w:lang w:val="es-BO"/>
              </w:rPr>
              <w:t>FECHA:</w:t>
            </w:r>
          </w:p>
          <w:p w:rsidR="00F14EF8" w:rsidRPr="00F922B4" w:rsidRDefault="00F14EF8" w:rsidP="00F14EF8">
            <w:pPr>
              <w:pStyle w:val="Textoindependiente3"/>
              <w:rPr>
                <w:rFonts w:ascii="Bookman Old Style" w:hAnsi="Bookman Old Style"/>
                <w:b/>
                <w:bCs/>
                <w:sz w:val="22"/>
                <w:szCs w:val="22"/>
                <w:lang w:val="es-BO"/>
              </w:rPr>
            </w:pPr>
          </w:p>
          <w:p w:rsidR="00F14EF8" w:rsidRPr="00F922B4" w:rsidRDefault="00F14EF8" w:rsidP="00F14EF8">
            <w:pPr>
              <w:pStyle w:val="Textoindependiente3"/>
              <w:rPr>
                <w:rFonts w:ascii="Bookman Old Style" w:hAnsi="Bookman Old Style"/>
                <w:b/>
                <w:bCs/>
                <w:sz w:val="22"/>
                <w:szCs w:val="22"/>
                <w:lang w:val="es-BO"/>
              </w:rPr>
            </w:pPr>
            <w:r w:rsidRPr="00F922B4">
              <w:rPr>
                <w:rFonts w:ascii="Bookman Old Style" w:hAnsi="Bookman Old Style"/>
                <w:b/>
                <w:bCs/>
                <w:sz w:val="22"/>
                <w:szCs w:val="22"/>
                <w:lang w:val="es-BO"/>
              </w:rPr>
              <w:t>El proponente deberá adjuntar a su propuesta la siguiente documentación en fotocopia simple:</w:t>
            </w:r>
          </w:p>
          <w:p w:rsidR="00F14EF8" w:rsidRPr="00F922B4" w:rsidRDefault="00F14EF8" w:rsidP="00F14EF8">
            <w:pPr>
              <w:pStyle w:val="Textoindependiente3"/>
              <w:rPr>
                <w:rFonts w:ascii="Bookman Old Style" w:hAnsi="Bookman Old Style"/>
                <w:b/>
                <w:bCs/>
                <w:sz w:val="22"/>
                <w:szCs w:val="22"/>
                <w:lang w:val="es-BO"/>
              </w:rPr>
            </w:pPr>
          </w:p>
          <w:p w:rsidR="00AD2738" w:rsidRPr="00F922B4" w:rsidRDefault="00AD2738" w:rsidP="00644E4E">
            <w:pPr>
              <w:pStyle w:val="Textoindependiente3"/>
              <w:numPr>
                <w:ilvl w:val="0"/>
                <w:numId w:val="5"/>
              </w:numPr>
              <w:rPr>
                <w:rFonts w:ascii="Bookman Old Style" w:hAnsi="Bookman Old Style"/>
                <w:bCs/>
                <w:sz w:val="22"/>
                <w:szCs w:val="22"/>
                <w:lang w:val="es-BO"/>
              </w:rPr>
            </w:pPr>
            <w:r w:rsidRPr="00F922B4">
              <w:rPr>
                <w:rFonts w:ascii="Bookman Old Style" w:hAnsi="Bookman Old Style"/>
                <w:bCs/>
                <w:sz w:val="22"/>
                <w:szCs w:val="22"/>
                <w:lang w:val="es-BO"/>
              </w:rPr>
              <w:t>Certificación ele</w:t>
            </w:r>
            <w:r w:rsidR="004F7EEE">
              <w:rPr>
                <w:rFonts w:ascii="Bookman Old Style" w:hAnsi="Bookman Old Style"/>
                <w:bCs/>
                <w:sz w:val="22"/>
                <w:szCs w:val="22"/>
                <w:lang w:val="es-BO"/>
              </w:rPr>
              <w:t>ctrónica del NIT.</w:t>
            </w:r>
          </w:p>
          <w:p w:rsidR="00036C5A" w:rsidRPr="00F922B4" w:rsidRDefault="004F7EEE" w:rsidP="00644E4E">
            <w:pPr>
              <w:pStyle w:val="Textoindependiente3"/>
              <w:numPr>
                <w:ilvl w:val="0"/>
                <w:numId w:val="5"/>
              </w:numPr>
              <w:rPr>
                <w:rFonts w:ascii="Bookman Old Style" w:eastAsia="Calibri" w:hAnsi="Bookman Old Style"/>
                <w:sz w:val="22"/>
                <w:szCs w:val="22"/>
                <w:lang w:eastAsia="en-US"/>
              </w:rPr>
            </w:pPr>
            <w:r>
              <w:rPr>
                <w:rFonts w:ascii="Bookman Old Style" w:hAnsi="Bookman Old Style"/>
                <w:bCs/>
                <w:sz w:val="22"/>
                <w:szCs w:val="22"/>
                <w:lang w:val="es-BO"/>
              </w:rPr>
              <w:t>Registro FUNDEMPRESA.</w:t>
            </w:r>
          </w:p>
          <w:p w:rsidR="00AD2738" w:rsidRPr="00F922B4" w:rsidRDefault="00AD2738" w:rsidP="00A47F85">
            <w:pPr>
              <w:pStyle w:val="Textoindependiente3"/>
              <w:rPr>
                <w:rFonts w:ascii="Bookman Old Style" w:eastAsia="Calibri" w:hAnsi="Bookman Old Style"/>
                <w:sz w:val="22"/>
                <w:szCs w:val="22"/>
                <w:lang w:eastAsia="en-US"/>
              </w:rPr>
            </w:pPr>
          </w:p>
        </w:tc>
      </w:tr>
      <w:tr w:rsidR="00A47F85" w:rsidRPr="00F922B4" w:rsidTr="00DB74B6">
        <w:trPr>
          <w:trHeight w:val="473"/>
        </w:trPr>
        <w:tc>
          <w:tcPr>
            <w:tcW w:w="10057" w:type="dxa"/>
            <w:tcBorders>
              <w:bottom w:val="single" w:sz="4" w:space="0" w:color="auto"/>
            </w:tcBorders>
            <w:shd w:val="clear" w:color="auto" w:fill="000000" w:themeFill="text1"/>
            <w:vAlign w:val="center"/>
          </w:tcPr>
          <w:p w:rsidR="00F14EF8" w:rsidRPr="00F922B4" w:rsidRDefault="001A4DA5" w:rsidP="00644E4E">
            <w:pPr>
              <w:pStyle w:val="Prrafodelista"/>
              <w:numPr>
                <w:ilvl w:val="0"/>
                <w:numId w:val="3"/>
              </w:numPr>
              <w:jc w:val="both"/>
              <w:rPr>
                <w:rFonts w:ascii="Bookman Old Style" w:hAnsi="Bookman Old Style" w:cs="Arial"/>
                <w:sz w:val="22"/>
                <w:szCs w:val="22"/>
                <w:lang w:val="es-BO"/>
              </w:rPr>
            </w:pPr>
            <w:r w:rsidRPr="00F922B4">
              <w:rPr>
                <w:rFonts w:ascii="Bookman Old Style" w:hAnsi="Bookman Old Style" w:cs="Arial"/>
                <w:b/>
                <w:bCs/>
                <w:sz w:val="22"/>
                <w:szCs w:val="22"/>
                <w:lang w:val="es-BO"/>
              </w:rPr>
              <w:t xml:space="preserve"> </w:t>
            </w:r>
            <w:r w:rsidR="00F14EF8" w:rsidRPr="00F922B4">
              <w:rPr>
                <w:rFonts w:ascii="Bookman Old Style" w:hAnsi="Bookman Old Style" w:cs="Arial"/>
                <w:b/>
                <w:bCs/>
                <w:sz w:val="22"/>
                <w:szCs w:val="22"/>
                <w:lang w:val="es-BO"/>
              </w:rPr>
              <w:t>CONDICIONES ADMINISTRATIVAS</w:t>
            </w:r>
          </w:p>
        </w:tc>
      </w:tr>
      <w:tr w:rsidR="00A47F85" w:rsidRPr="00F922B4" w:rsidTr="006F1A6C">
        <w:trPr>
          <w:trHeight w:val="561"/>
        </w:trPr>
        <w:tc>
          <w:tcPr>
            <w:tcW w:w="10057" w:type="dxa"/>
            <w:shd w:val="clear" w:color="auto" w:fill="D0CECE"/>
            <w:vAlign w:val="center"/>
          </w:tcPr>
          <w:p w:rsidR="00F14EF8" w:rsidRPr="00F922B4" w:rsidRDefault="00F14EF8" w:rsidP="00644E4E">
            <w:pPr>
              <w:pStyle w:val="Textoindependiente3"/>
              <w:numPr>
                <w:ilvl w:val="0"/>
                <w:numId w:val="6"/>
              </w:numPr>
              <w:jc w:val="left"/>
              <w:rPr>
                <w:rFonts w:ascii="Bookman Old Style" w:hAnsi="Bookman Old Style"/>
                <w:b/>
                <w:bCs/>
                <w:sz w:val="22"/>
                <w:szCs w:val="22"/>
              </w:rPr>
            </w:pPr>
            <w:r w:rsidRPr="00F922B4">
              <w:rPr>
                <w:rFonts w:ascii="Bookman Old Style" w:hAnsi="Bookman Old Style"/>
                <w:b/>
                <w:bCs/>
                <w:sz w:val="22"/>
                <w:szCs w:val="22"/>
              </w:rPr>
              <w:t>FORMALIZACIÓN</w:t>
            </w:r>
            <w:r w:rsidR="00F97521" w:rsidRPr="00F922B4">
              <w:rPr>
                <w:rFonts w:ascii="Bookman Old Style" w:hAnsi="Bookman Old Style"/>
                <w:b/>
                <w:bCs/>
                <w:sz w:val="22"/>
                <w:szCs w:val="22"/>
              </w:rPr>
              <w:t>:</w:t>
            </w:r>
          </w:p>
        </w:tc>
      </w:tr>
      <w:tr w:rsidR="00A47F85" w:rsidRPr="00512431" w:rsidTr="006F1A6C">
        <w:trPr>
          <w:trHeight w:val="558"/>
        </w:trPr>
        <w:tc>
          <w:tcPr>
            <w:tcW w:w="10057" w:type="dxa"/>
            <w:shd w:val="clear" w:color="auto" w:fill="auto"/>
            <w:vAlign w:val="center"/>
          </w:tcPr>
          <w:p w:rsidR="00725A31" w:rsidRPr="00F922B4" w:rsidRDefault="00725A31" w:rsidP="004F174B">
            <w:pPr>
              <w:pStyle w:val="Sinespaciado"/>
              <w:jc w:val="both"/>
              <w:rPr>
                <w:rFonts w:ascii="Bookman Old Style" w:hAnsi="Bookman Old Style" w:cs="Arial"/>
                <w:bCs/>
              </w:rPr>
            </w:pPr>
          </w:p>
          <w:p w:rsidR="00F922B4" w:rsidRPr="00F922B4" w:rsidRDefault="00F922B4" w:rsidP="004F7EEE">
            <w:pPr>
              <w:pStyle w:val="Sinespaciado"/>
              <w:jc w:val="both"/>
              <w:rPr>
                <w:rFonts w:ascii="Bookman Old Style" w:eastAsia="Arial" w:hAnsi="Bookman Old Style" w:cs="Arial"/>
              </w:rPr>
            </w:pPr>
            <w:r w:rsidRPr="00F922B4">
              <w:rPr>
                <w:rFonts w:ascii="Bookman Old Style" w:hAnsi="Bookman Old Style" w:cs="Arial"/>
                <w:color w:val="000000"/>
              </w:rPr>
              <w:t>La contratación se formalizará mediante la suscripción de ORDEN DE SERVICIO.</w:t>
            </w:r>
          </w:p>
        </w:tc>
      </w:tr>
      <w:tr w:rsidR="00A47F85" w:rsidRPr="00512431" w:rsidTr="00B105B1">
        <w:trPr>
          <w:trHeight w:val="403"/>
        </w:trPr>
        <w:tc>
          <w:tcPr>
            <w:tcW w:w="10057" w:type="dxa"/>
            <w:shd w:val="clear" w:color="auto" w:fill="D0CECE"/>
            <w:vAlign w:val="center"/>
          </w:tcPr>
          <w:p w:rsidR="00F14EF8" w:rsidRPr="00F922B4" w:rsidRDefault="00F14EF8" w:rsidP="00644E4E">
            <w:pPr>
              <w:pStyle w:val="Textoindependiente3"/>
              <w:numPr>
                <w:ilvl w:val="0"/>
                <w:numId w:val="6"/>
              </w:numPr>
              <w:rPr>
                <w:rFonts w:ascii="Bookman Old Style" w:hAnsi="Bookman Old Style"/>
                <w:b/>
                <w:bCs/>
                <w:sz w:val="22"/>
                <w:szCs w:val="22"/>
              </w:rPr>
            </w:pPr>
            <w:r w:rsidRPr="00F922B4">
              <w:rPr>
                <w:rFonts w:ascii="Bookman Old Style" w:hAnsi="Bookman Old Style"/>
                <w:b/>
                <w:bCs/>
                <w:sz w:val="22"/>
                <w:szCs w:val="22"/>
                <w:lang w:val="es-BO"/>
              </w:rPr>
              <w:t xml:space="preserve">LUGAR DE </w:t>
            </w:r>
            <w:r w:rsidR="00F922B4" w:rsidRPr="00F922B4">
              <w:rPr>
                <w:rFonts w:ascii="Bookman Old Style" w:hAnsi="Bookman Old Style"/>
                <w:b/>
                <w:bCs/>
                <w:sz w:val="22"/>
                <w:szCs w:val="22"/>
                <w:lang w:val="es-BO"/>
              </w:rPr>
              <w:t>PRESTACIÓN DEL SERVICIO</w:t>
            </w:r>
            <w:r w:rsidRPr="00F922B4">
              <w:rPr>
                <w:rFonts w:ascii="Bookman Old Style" w:hAnsi="Bookman Old Style"/>
                <w:b/>
                <w:bCs/>
                <w:sz w:val="22"/>
                <w:szCs w:val="22"/>
                <w:lang w:val="es-BO"/>
              </w:rPr>
              <w:t xml:space="preserve"> </w:t>
            </w:r>
          </w:p>
        </w:tc>
      </w:tr>
      <w:tr w:rsidR="00A47F85" w:rsidRPr="001F7A9A" w:rsidTr="006F1A6C">
        <w:trPr>
          <w:trHeight w:val="1217"/>
        </w:trPr>
        <w:tc>
          <w:tcPr>
            <w:tcW w:w="10057" w:type="dxa"/>
            <w:shd w:val="clear" w:color="auto" w:fill="auto"/>
            <w:vAlign w:val="center"/>
          </w:tcPr>
          <w:p w:rsidR="00725A31" w:rsidRPr="00F922B4" w:rsidRDefault="00725A31" w:rsidP="00DB0800">
            <w:pPr>
              <w:pStyle w:val="Textoindependiente3"/>
              <w:rPr>
                <w:rFonts w:ascii="Bookman Old Style" w:hAnsi="Bookman Old Style"/>
                <w:bCs/>
                <w:sz w:val="22"/>
                <w:szCs w:val="22"/>
                <w:lang w:val="es-BO"/>
              </w:rPr>
            </w:pPr>
          </w:p>
          <w:p w:rsidR="00DA340F" w:rsidRPr="00F922B4" w:rsidRDefault="00DA340F" w:rsidP="00DA340F">
            <w:pPr>
              <w:jc w:val="both"/>
              <w:rPr>
                <w:rFonts w:ascii="Bookman Old Style" w:eastAsia="Arial" w:hAnsi="Bookman Old Style" w:cs="Arial"/>
                <w:sz w:val="22"/>
                <w:szCs w:val="22"/>
                <w:lang w:val="es-BO"/>
              </w:rPr>
            </w:pPr>
            <w:r w:rsidRPr="00F922B4">
              <w:rPr>
                <w:rFonts w:ascii="Bookman Old Style" w:eastAsia="Arial" w:hAnsi="Bookman Old Style" w:cs="Arial"/>
                <w:sz w:val="22"/>
                <w:szCs w:val="22"/>
                <w:lang w:val="es-BO"/>
              </w:rPr>
              <w:t>El servicio deberá ser prestado en Oficinas del Tribunal Supremo Electoral de acuerdo al siguiente detalle:</w:t>
            </w:r>
          </w:p>
          <w:p w:rsidR="00DA340F" w:rsidRPr="00F922B4" w:rsidRDefault="00DA340F" w:rsidP="00644E4E">
            <w:pPr>
              <w:pStyle w:val="Prrafodelista"/>
              <w:numPr>
                <w:ilvl w:val="0"/>
                <w:numId w:val="7"/>
              </w:numPr>
              <w:jc w:val="both"/>
              <w:rPr>
                <w:rFonts w:ascii="Bookman Old Style" w:eastAsia="Arial" w:hAnsi="Bookman Old Style" w:cs="Arial"/>
                <w:sz w:val="22"/>
                <w:szCs w:val="22"/>
                <w:lang w:val="es-BO"/>
              </w:rPr>
            </w:pPr>
            <w:r w:rsidRPr="00F922B4">
              <w:rPr>
                <w:rFonts w:ascii="Bookman Old Style" w:eastAsia="Arial" w:hAnsi="Bookman Old Style" w:cs="Arial"/>
                <w:sz w:val="22"/>
                <w:szCs w:val="22"/>
                <w:lang w:val="es-BO"/>
              </w:rPr>
              <w:t>Avenida</w:t>
            </w:r>
            <w:r w:rsidRPr="00F922B4">
              <w:rPr>
                <w:rFonts w:ascii="Bookman Old Style" w:hAnsi="Bookman Old Style" w:cs="Arial"/>
                <w:sz w:val="22"/>
                <w:szCs w:val="22"/>
                <w:lang w:val="es-BO" w:eastAsia="es-BO"/>
              </w:rPr>
              <w:t xml:space="preserve"> Sánchez Lima Nº 2482 esq. Pedro Salazar (Plaza Abaroa)</w:t>
            </w:r>
            <w:r w:rsidRPr="00F922B4">
              <w:rPr>
                <w:rFonts w:ascii="Bookman Old Style" w:eastAsia="Arial" w:hAnsi="Bookman Old Style" w:cs="Arial"/>
                <w:sz w:val="22"/>
                <w:szCs w:val="22"/>
                <w:lang w:val="es-BO"/>
              </w:rPr>
              <w:t>, en el lugar (oficina) que se encuentre el personal, consultor (a) y policías el mismo en coordinación con la Comisión o Responsable de Recepción.</w:t>
            </w:r>
          </w:p>
          <w:p w:rsidR="00DA340F" w:rsidRPr="00F922B4" w:rsidRDefault="00DA340F" w:rsidP="00644E4E">
            <w:pPr>
              <w:pStyle w:val="Prrafodelista"/>
              <w:numPr>
                <w:ilvl w:val="0"/>
                <w:numId w:val="7"/>
              </w:numPr>
              <w:jc w:val="both"/>
              <w:rPr>
                <w:rFonts w:ascii="Bookman Old Style" w:eastAsia="Arial" w:hAnsi="Bookman Old Style" w:cs="Arial"/>
                <w:sz w:val="22"/>
                <w:szCs w:val="22"/>
                <w:lang w:val="es-BO"/>
              </w:rPr>
            </w:pPr>
            <w:r w:rsidRPr="00F922B4">
              <w:rPr>
                <w:rFonts w:ascii="Bookman Old Style" w:eastAsia="Arial" w:hAnsi="Bookman Old Style" w:cs="Arial"/>
                <w:sz w:val="22"/>
                <w:szCs w:val="22"/>
                <w:lang w:val="es-BO"/>
              </w:rPr>
              <w:t>Avenida 6 de agosto (IDI) frente a la Embajada Americana, en el lugar (oficina) que se encuentre el personal, consultor (a) y policías el mismo en coordinación con la Comisión o Responsable de Recepción.</w:t>
            </w:r>
          </w:p>
          <w:p w:rsidR="00DA340F" w:rsidRPr="00F922B4" w:rsidRDefault="00DA340F" w:rsidP="00644E4E">
            <w:pPr>
              <w:pStyle w:val="Prrafodelista"/>
              <w:numPr>
                <w:ilvl w:val="0"/>
                <w:numId w:val="7"/>
              </w:numPr>
              <w:jc w:val="both"/>
              <w:rPr>
                <w:rFonts w:ascii="Bookman Old Style" w:eastAsia="Arial" w:hAnsi="Bookman Old Style" w:cs="Arial"/>
                <w:sz w:val="22"/>
                <w:szCs w:val="22"/>
                <w:lang w:val="es-BO"/>
              </w:rPr>
            </w:pPr>
            <w:r w:rsidRPr="00F922B4">
              <w:rPr>
                <w:rFonts w:ascii="Bookman Old Style" w:eastAsia="Arial" w:hAnsi="Bookman Old Style" w:cs="Arial"/>
                <w:sz w:val="22"/>
                <w:szCs w:val="22"/>
                <w:lang w:val="es-BO"/>
              </w:rPr>
              <w:t>San Jorge frente a la Estación de Servicio Automóvil Club Boliviano, en el lugar (oficina) que se encuentre el personal, consultor (a) y policías el mismo en coordinación con la Comisión o Responsable de Recepción.</w:t>
            </w:r>
          </w:p>
          <w:p w:rsidR="00725A31" w:rsidRPr="00F922B4" w:rsidRDefault="00DA340F" w:rsidP="004F7EEE">
            <w:pPr>
              <w:pStyle w:val="Prrafodelista"/>
              <w:numPr>
                <w:ilvl w:val="0"/>
                <w:numId w:val="7"/>
              </w:numPr>
              <w:jc w:val="both"/>
              <w:rPr>
                <w:rFonts w:ascii="Bookman Old Style" w:hAnsi="Bookman Old Style"/>
                <w:bCs/>
                <w:sz w:val="22"/>
                <w:szCs w:val="22"/>
                <w:lang w:val="es-BO"/>
              </w:rPr>
            </w:pPr>
            <w:r w:rsidRPr="00F922B4">
              <w:rPr>
                <w:rFonts w:ascii="Bookman Old Style" w:eastAsia="Arial" w:hAnsi="Bookman Old Style" w:cs="Arial"/>
                <w:sz w:val="22"/>
                <w:szCs w:val="22"/>
                <w:lang w:val="es-BO"/>
              </w:rPr>
              <w:lastRenderedPageBreak/>
              <w:t>Plaza Venezuela Av. 16 de Julio (Oficinas SERECI), en el lugar (oficina) que se encuentre el personal, consultor (a) y policías el mismo en coordinación con la Comisión o Responsable de Recepción.</w:t>
            </w:r>
          </w:p>
        </w:tc>
      </w:tr>
      <w:tr w:rsidR="00A47F85" w:rsidRPr="001F7A9A" w:rsidTr="006F1A6C">
        <w:trPr>
          <w:trHeight w:val="522"/>
        </w:trPr>
        <w:tc>
          <w:tcPr>
            <w:tcW w:w="10057" w:type="dxa"/>
            <w:shd w:val="clear" w:color="auto" w:fill="D0CECE"/>
            <w:vAlign w:val="center"/>
          </w:tcPr>
          <w:p w:rsidR="00F14EF8" w:rsidRPr="00F922B4" w:rsidRDefault="00F97521" w:rsidP="00644E4E">
            <w:pPr>
              <w:pStyle w:val="Textoindependiente3"/>
              <w:numPr>
                <w:ilvl w:val="0"/>
                <w:numId w:val="6"/>
              </w:numPr>
              <w:rPr>
                <w:rFonts w:ascii="Bookman Old Style" w:hAnsi="Bookman Old Style"/>
                <w:b/>
                <w:bCs/>
                <w:sz w:val="22"/>
                <w:szCs w:val="22"/>
              </w:rPr>
            </w:pPr>
            <w:r w:rsidRPr="00F922B4">
              <w:rPr>
                <w:rFonts w:ascii="Bookman Old Style" w:hAnsi="Bookman Old Style"/>
                <w:b/>
                <w:bCs/>
                <w:sz w:val="22"/>
                <w:szCs w:val="22"/>
                <w:lang w:val="es-BO"/>
              </w:rPr>
              <w:lastRenderedPageBreak/>
              <w:t xml:space="preserve">PLAZO DE </w:t>
            </w:r>
            <w:r w:rsidR="004F174B" w:rsidRPr="00F922B4">
              <w:rPr>
                <w:rFonts w:ascii="Bookman Old Style" w:hAnsi="Bookman Old Style"/>
                <w:b/>
                <w:bCs/>
                <w:sz w:val="22"/>
                <w:szCs w:val="22"/>
                <w:lang w:val="es-BO"/>
              </w:rPr>
              <w:t>PRESTACIÓN DEL SERVICIO</w:t>
            </w:r>
            <w:r w:rsidRPr="00F922B4">
              <w:rPr>
                <w:rFonts w:ascii="Bookman Old Style" w:hAnsi="Bookman Old Style"/>
                <w:b/>
                <w:bCs/>
                <w:sz w:val="22"/>
                <w:szCs w:val="22"/>
                <w:lang w:val="es-BO"/>
              </w:rPr>
              <w:t>:</w:t>
            </w:r>
          </w:p>
        </w:tc>
      </w:tr>
      <w:tr w:rsidR="00A47F85" w:rsidRPr="001F7A9A" w:rsidTr="00036C5A">
        <w:trPr>
          <w:trHeight w:val="76"/>
        </w:trPr>
        <w:tc>
          <w:tcPr>
            <w:tcW w:w="10057" w:type="dxa"/>
            <w:shd w:val="clear" w:color="auto" w:fill="FFFFFF"/>
            <w:vAlign w:val="center"/>
          </w:tcPr>
          <w:p w:rsidR="00E073F6" w:rsidRPr="00F922B4" w:rsidRDefault="00CA0FF7" w:rsidP="00512431">
            <w:pPr>
              <w:pStyle w:val="Textoindependiente3"/>
              <w:jc w:val="left"/>
              <w:rPr>
                <w:rFonts w:ascii="Bookman Old Style" w:hAnsi="Bookman Old Style"/>
                <w:bCs/>
                <w:iCs/>
                <w:sz w:val="22"/>
                <w:szCs w:val="22"/>
                <w:lang w:val="es-BO"/>
              </w:rPr>
            </w:pPr>
            <w:r w:rsidRPr="00F922B4">
              <w:rPr>
                <w:rFonts w:ascii="Bookman Old Style" w:hAnsi="Bookman Old Style"/>
                <w:iCs/>
                <w:sz w:val="22"/>
                <w:szCs w:val="22"/>
                <w:lang w:val="es-BO"/>
              </w:rPr>
              <w:t>El plazo de prestación de servicio ser</w:t>
            </w:r>
            <w:r w:rsidR="00512431">
              <w:rPr>
                <w:rFonts w:ascii="Bookman Old Style" w:hAnsi="Bookman Old Style"/>
                <w:iCs/>
                <w:sz w:val="22"/>
                <w:szCs w:val="22"/>
                <w:lang w:val="es-BO"/>
              </w:rPr>
              <w:t>á a partir de la suscripción de la orden de servicio</w:t>
            </w:r>
            <w:r w:rsidRPr="00F922B4">
              <w:rPr>
                <w:rFonts w:ascii="Bookman Old Style" w:hAnsi="Bookman Old Style"/>
                <w:iCs/>
                <w:sz w:val="22"/>
                <w:szCs w:val="22"/>
                <w:lang w:val="es-BO"/>
              </w:rPr>
              <w:t xml:space="preserve"> al </w:t>
            </w:r>
            <w:r w:rsidR="004F7EEE">
              <w:rPr>
                <w:rFonts w:ascii="Bookman Old Style" w:hAnsi="Bookman Old Style"/>
                <w:iCs/>
                <w:sz w:val="22"/>
                <w:szCs w:val="22"/>
                <w:lang w:val="es-BO"/>
              </w:rPr>
              <w:t>12</w:t>
            </w:r>
            <w:r w:rsidRPr="00F922B4">
              <w:rPr>
                <w:rFonts w:ascii="Bookman Old Style" w:hAnsi="Bookman Old Style"/>
                <w:iCs/>
                <w:sz w:val="22"/>
                <w:szCs w:val="22"/>
                <w:lang w:val="es-BO"/>
              </w:rPr>
              <w:t xml:space="preserve"> de </w:t>
            </w:r>
            <w:r w:rsidR="004F7EEE">
              <w:rPr>
                <w:rFonts w:ascii="Bookman Old Style" w:hAnsi="Bookman Old Style"/>
                <w:iCs/>
                <w:sz w:val="22"/>
                <w:szCs w:val="22"/>
                <w:lang w:val="es-BO"/>
              </w:rPr>
              <w:t xml:space="preserve">abril </w:t>
            </w:r>
            <w:r w:rsidRPr="00F922B4">
              <w:rPr>
                <w:rFonts w:ascii="Bookman Old Style" w:hAnsi="Bookman Old Style"/>
                <w:iCs/>
                <w:sz w:val="22"/>
                <w:szCs w:val="22"/>
                <w:lang w:val="es-BO"/>
              </w:rPr>
              <w:t>del 2021.</w:t>
            </w:r>
          </w:p>
        </w:tc>
      </w:tr>
      <w:tr w:rsidR="00A47F85" w:rsidRPr="00F922B4" w:rsidTr="006F1A6C">
        <w:trPr>
          <w:trHeight w:val="445"/>
        </w:trPr>
        <w:tc>
          <w:tcPr>
            <w:tcW w:w="10057" w:type="dxa"/>
            <w:shd w:val="clear" w:color="auto" w:fill="D0CECE"/>
            <w:vAlign w:val="center"/>
          </w:tcPr>
          <w:p w:rsidR="00F14EF8" w:rsidRPr="00F922B4" w:rsidRDefault="00F14EF8" w:rsidP="00644E4E">
            <w:pPr>
              <w:pStyle w:val="Textoindependiente3"/>
              <w:numPr>
                <w:ilvl w:val="0"/>
                <w:numId w:val="6"/>
              </w:numPr>
              <w:rPr>
                <w:rFonts w:ascii="Bookman Old Style" w:hAnsi="Bookman Old Style"/>
                <w:b/>
                <w:bCs/>
                <w:sz w:val="22"/>
                <w:szCs w:val="22"/>
              </w:rPr>
            </w:pPr>
            <w:r w:rsidRPr="00F922B4">
              <w:rPr>
                <w:rFonts w:ascii="Bookman Old Style" w:hAnsi="Bookman Old Style"/>
                <w:b/>
                <w:bCs/>
                <w:sz w:val="22"/>
                <w:szCs w:val="22"/>
                <w:lang w:val="es-BO"/>
              </w:rPr>
              <w:t>INCUMPLIMIENTO</w:t>
            </w:r>
            <w:r w:rsidR="00F97521" w:rsidRPr="00F922B4">
              <w:rPr>
                <w:rFonts w:ascii="Bookman Old Style" w:hAnsi="Bookman Old Style"/>
                <w:b/>
                <w:bCs/>
                <w:sz w:val="22"/>
                <w:szCs w:val="22"/>
                <w:lang w:val="es-BO"/>
              </w:rPr>
              <w:t>:</w:t>
            </w:r>
          </w:p>
        </w:tc>
      </w:tr>
      <w:tr w:rsidR="00A47F85" w:rsidRPr="001F7A9A" w:rsidTr="007D02A7">
        <w:trPr>
          <w:trHeight w:val="1712"/>
        </w:trPr>
        <w:tc>
          <w:tcPr>
            <w:tcW w:w="10057" w:type="dxa"/>
            <w:shd w:val="clear" w:color="auto" w:fill="auto"/>
            <w:vAlign w:val="center"/>
          </w:tcPr>
          <w:p w:rsidR="00CA0FF7" w:rsidRPr="00F922B4" w:rsidRDefault="00CA0FF7" w:rsidP="00CA0FF7">
            <w:pPr>
              <w:pStyle w:val="Textoindependiente3"/>
              <w:rPr>
                <w:rFonts w:ascii="Bookman Old Style" w:hAnsi="Bookman Old Style"/>
                <w:bCs/>
                <w:sz w:val="22"/>
                <w:szCs w:val="22"/>
                <w:lang w:val="es-BO"/>
              </w:rPr>
            </w:pPr>
            <w:r w:rsidRPr="00F922B4">
              <w:rPr>
                <w:rFonts w:ascii="Bookman Old Style" w:hAnsi="Bookman Old Style"/>
                <w:bCs/>
                <w:sz w:val="22"/>
                <w:szCs w:val="22"/>
                <w:lang w:val="es-BO"/>
              </w:rPr>
              <w:t>En caso de incumplimiento en el plazo de entrega se dejará sin efecto la Orden de Servicio y si el monto es mayor a Bs20.000</w:t>
            </w:r>
            <w:proofErr w:type="gramStart"/>
            <w:r w:rsidRPr="00F922B4">
              <w:rPr>
                <w:rFonts w:ascii="Bookman Old Style" w:hAnsi="Bookman Old Style"/>
                <w:bCs/>
                <w:sz w:val="22"/>
                <w:szCs w:val="22"/>
                <w:lang w:val="es-BO"/>
              </w:rPr>
              <w:t>,00</w:t>
            </w:r>
            <w:proofErr w:type="gramEnd"/>
            <w:r w:rsidRPr="00F922B4">
              <w:rPr>
                <w:rFonts w:ascii="Bookman Old Style" w:hAnsi="Bookman Old Style"/>
                <w:bCs/>
                <w:sz w:val="22"/>
                <w:szCs w:val="22"/>
                <w:lang w:val="es-BO"/>
              </w:rPr>
              <w:t xml:space="preserve"> se registrará el incumplimiento en el SICOES. </w:t>
            </w:r>
          </w:p>
          <w:p w:rsidR="00CA0FF7" w:rsidRPr="00F922B4" w:rsidRDefault="00CA0FF7" w:rsidP="00CA0FF7">
            <w:pPr>
              <w:pStyle w:val="Textoindependiente3"/>
              <w:rPr>
                <w:rFonts w:ascii="Bookman Old Style" w:hAnsi="Bookman Old Style"/>
                <w:bCs/>
                <w:sz w:val="22"/>
                <w:szCs w:val="22"/>
                <w:lang w:val="es-BO"/>
              </w:rPr>
            </w:pPr>
          </w:p>
          <w:p w:rsidR="00F14EF8" w:rsidRPr="00F922B4" w:rsidRDefault="00CA0FF7" w:rsidP="004F7EEE">
            <w:pPr>
              <w:pStyle w:val="Textoindependiente3"/>
              <w:rPr>
                <w:rFonts w:ascii="Bookman Old Style" w:eastAsia="Arial" w:hAnsi="Bookman Old Style"/>
                <w:sz w:val="22"/>
                <w:szCs w:val="22"/>
                <w:lang w:val="es-BO"/>
              </w:rPr>
            </w:pPr>
            <w:r w:rsidRPr="00F922B4">
              <w:rPr>
                <w:rFonts w:ascii="Bookman Old Style" w:hAnsi="Bookman Old Style"/>
                <w:b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A47F85" w:rsidRPr="001F7A9A" w:rsidTr="00F922B4">
        <w:trPr>
          <w:trHeight w:val="424"/>
        </w:trPr>
        <w:tc>
          <w:tcPr>
            <w:tcW w:w="10057" w:type="dxa"/>
            <w:shd w:val="clear" w:color="auto" w:fill="D9D9D9" w:themeFill="background1" w:themeFillShade="D9"/>
            <w:vAlign w:val="center"/>
          </w:tcPr>
          <w:p w:rsidR="00F14EF8" w:rsidRPr="00F922B4" w:rsidRDefault="00F14EF8" w:rsidP="00644E4E">
            <w:pPr>
              <w:pStyle w:val="Textoindependiente3"/>
              <w:numPr>
                <w:ilvl w:val="0"/>
                <w:numId w:val="6"/>
              </w:numPr>
              <w:rPr>
                <w:rFonts w:ascii="Bookman Old Style" w:hAnsi="Bookman Old Style"/>
                <w:b/>
                <w:sz w:val="22"/>
                <w:szCs w:val="22"/>
              </w:rPr>
            </w:pPr>
            <w:r w:rsidRPr="00F922B4">
              <w:rPr>
                <w:rFonts w:ascii="Bookman Old Style" w:hAnsi="Bookman Old Style"/>
                <w:b/>
                <w:bCs/>
                <w:sz w:val="22"/>
                <w:szCs w:val="22"/>
                <w:lang w:val="es-BO"/>
              </w:rPr>
              <w:t>RESPONSABLE O COMISIÓN DE RECEPCIÓN</w:t>
            </w:r>
          </w:p>
        </w:tc>
      </w:tr>
      <w:tr w:rsidR="00A47F85" w:rsidRPr="001F7A9A" w:rsidTr="00F922B4">
        <w:trPr>
          <w:trHeight w:val="416"/>
        </w:trPr>
        <w:tc>
          <w:tcPr>
            <w:tcW w:w="10057" w:type="dxa"/>
            <w:shd w:val="clear" w:color="auto" w:fill="auto"/>
            <w:vAlign w:val="center"/>
          </w:tcPr>
          <w:p w:rsidR="00E073F6" w:rsidRPr="00F922B4" w:rsidRDefault="00E073F6" w:rsidP="00F97521">
            <w:pPr>
              <w:pStyle w:val="Textoindependiente3"/>
              <w:rPr>
                <w:rFonts w:ascii="Bookman Old Style" w:hAnsi="Bookman Old Style"/>
                <w:bCs/>
                <w:sz w:val="22"/>
                <w:szCs w:val="22"/>
                <w:lang w:val="es-ES_tradnl"/>
              </w:rPr>
            </w:pPr>
          </w:p>
          <w:p w:rsidR="00F97521" w:rsidRPr="00F922B4" w:rsidRDefault="00F97521" w:rsidP="00F97521">
            <w:pPr>
              <w:pStyle w:val="Textoindependiente3"/>
              <w:rPr>
                <w:rFonts w:ascii="Bookman Old Style" w:hAnsi="Bookman Old Style"/>
                <w:bCs/>
                <w:sz w:val="22"/>
                <w:szCs w:val="22"/>
                <w:lang w:val="es-ES_tradnl"/>
              </w:rPr>
            </w:pPr>
            <w:r w:rsidRPr="00F922B4">
              <w:rPr>
                <w:rFonts w:ascii="Bookman Old Style" w:hAnsi="Bookman Old Style"/>
                <w:bCs/>
                <w:sz w:val="22"/>
                <w:szCs w:val="22"/>
                <w:lang w:val="es-ES_tradnl"/>
              </w:rPr>
              <w:t xml:space="preserve">El Responsable o Comisión de Recepción será designado por el Responsable del Proceso de Contratación Directas y se encargará de realizar la  verificación de la </w:t>
            </w:r>
            <w:r w:rsidR="004F174B" w:rsidRPr="00F922B4">
              <w:rPr>
                <w:rFonts w:ascii="Bookman Old Style" w:hAnsi="Bookman Old Style"/>
                <w:bCs/>
                <w:sz w:val="22"/>
                <w:szCs w:val="22"/>
                <w:lang w:val="es-ES_tradnl"/>
              </w:rPr>
              <w:t>prestación del servicio</w:t>
            </w:r>
            <w:r w:rsidRPr="00F922B4">
              <w:rPr>
                <w:rFonts w:ascii="Bookman Old Style" w:hAnsi="Bookman Old Style"/>
                <w:bCs/>
                <w:sz w:val="22"/>
                <w:szCs w:val="22"/>
                <w:lang w:val="es-ES_tradnl"/>
              </w:rPr>
              <w:t>, a cuyo efecto realizará las siguientes funciones:</w:t>
            </w:r>
          </w:p>
          <w:p w:rsidR="00F97521" w:rsidRPr="00F922B4" w:rsidRDefault="00F97521" w:rsidP="00F97521">
            <w:pPr>
              <w:pStyle w:val="Textoindependiente3"/>
              <w:rPr>
                <w:rFonts w:ascii="Bookman Old Style" w:hAnsi="Bookman Old Style"/>
                <w:bCs/>
                <w:sz w:val="22"/>
                <w:szCs w:val="22"/>
                <w:lang w:val="es-ES_tradnl"/>
              </w:rPr>
            </w:pPr>
          </w:p>
          <w:p w:rsidR="00F97521" w:rsidRPr="00F922B4" w:rsidRDefault="00F97521" w:rsidP="00644E4E">
            <w:pPr>
              <w:pStyle w:val="Textoindependiente3"/>
              <w:numPr>
                <w:ilvl w:val="0"/>
                <w:numId w:val="4"/>
              </w:numPr>
              <w:ind w:left="720"/>
              <w:rPr>
                <w:rFonts w:ascii="Bookman Old Style" w:hAnsi="Bookman Old Style"/>
                <w:bCs/>
                <w:sz w:val="22"/>
                <w:szCs w:val="22"/>
              </w:rPr>
            </w:pPr>
            <w:r w:rsidRPr="00F922B4">
              <w:rPr>
                <w:rFonts w:ascii="Bookman Old Style" w:hAnsi="Bookman Old Style"/>
                <w:bCs/>
                <w:sz w:val="22"/>
                <w:szCs w:val="22"/>
              </w:rPr>
              <w:t xml:space="preserve">Efectuar la recepción del </w:t>
            </w:r>
            <w:r w:rsidR="004F174B" w:rsidRPr="00F922B4">
              <w:rPr>
                <w:rFonts w:ascii="Bookman Old Style" w:hAnsi="Bookman Old Style"/>
                <w:bCs/>
                <w:sz w:val="22"/>
                <w:szCs w:val="22"/>
              </w:rPr>
              <w:t>servicio</w:t>
            </w:r>
            <w:r w:rsidRPr="00F922B4">
              <w:rPr>
                <w:rFonts w:ascii="Bookman Old Style" w:hAnsi="Bookman Old Style"/>
                <w:bCs/>
                <w:sz w:val="22"/>
                <w:szCs w:val="22"/>
              </w:rPr>
              <w:t xml:space="preserve"> y dar su conformidad verificando el cumplimiento de las especificaciones técnicas.</w:t>
            </w:r>
          </w:p>
          <w:p w:rsidR="004F7EEE" w:rsidRPr="00F922B4" w:rsidRDefault="00F97521" w:rsidP="004F7EEE">
            <w:pPr>
              <w:pStyle w:val="Textoindependiente3"/>
              <w:numPr>
                <w:ilvl w:val="0"/>
                <w:numId w:val="4"/>
              </w:numPr>
              <w:ind w:left="720"/>
              <w:rPr>
                <w:rFonts w:ascii="Bookman Old Style" w:hAnsi="Bookman Old Style"/>
                <w:bCs/>
                <w:sz w:val="22"/>
                <w:szCs w:val="22"/>
              </w:rPr>
            </w:pPr>
            <w:r w:rsidRPr="00F922B4">
              <w:rPr>
                <w:rFonts w:ascii="Bookman Old Style" w:hAnsi="Bookman Old Style"/>
                <w:bCs/>
                <w:sz w:val="22"/>
                <w:szCs w:val="22"/>
              </w:rPr>
              <w:t>Emitir el informe de conformidad o disconformidad, cuando corresponda.</w:t>
            </w:r>
          </w:p>
        </w:tc>
      </w:tr>
      <w:tr w:rsidR="00A47F85" w:rsidRPr="00F922B4" w:rsidTr="006F1A6C">
        <w:trPr>
          <w:trHeight w:val="397"/>
        </w:trPr>
        <w:tc>
          <w:tcPr>
            <w:tcW w:w="10057" w:type="dxa"/>
            <w:shd w:val="clear" w:color="auto" w:fill="D0CECE"/>
            <w:vAlign w:val="center"/>
          </w:tcPr>
          <w:p w:rsidR="00E6201C" w:rsidRPr="00F922B4" w:rsidRDefault="00E6201C" w:rsidP="00644E4E">
            <w:pPr>
              <w:pStyle w:val="Textoindependiente3"/>
              <w:numPr>
                <w:ilvl w:val="0"/>
                <w:numId w:val="6"/>
              </w:numPr>
              <w:rPr>
                <w:rFonts w:ascii="Bookman Old Style" w:hAnsi="Bookman Old Style"/>
                <w:b/>
                <w:bCs/>
                <w:sz w:val="22"/>
                <w:szCs w:val="22"/>
              </w:rPr>
            </w:pPr>
            <w:r w:rsidRPr="00F922B4">
              <w:rPr>
                <w:rFonts w:ascii="Bookman Old Style" w:hAnsi="Bookman Old Style"/>
                <w:b/>
                <w:bCs/>
                <w:sz w:val="22"/>
                <w:szCs w:val="22"/>
              </w:rPr>
              <w:t>FORMA DE PAGO</w:t>
            </w:r>
          </w:p>
        </w:tc>
      </w:tr>
      <w:tr w:rsidR="00A47F85" w:rsidRPr="001F7A9A" w:rsidTr="006F1A6C">
        <w:trPr>
          <w:trHeight w:val="932"/>
        </w:trPr>
        <w:tc>
          <w:tcPr>
            <w:tcW w:w="10057" w:type="dxa"/>
            <w:tcBorders>
              <w:bottom w:val="single" w:sz="4" w:space="0" w:color="auto"/>
            </w:tcBorders>
            <w:vAlign w:val="center"/>
          </w:tcPr>
          <w:p w:rsidR="00E6201C" w:rsidRPr="00F922B4" w:rsidRDefault="00CA0FF7" w:rsidP="004F7EEE">
            <w:pPr>
              <w:pStyle w:val="Textoindependiente3"/>
              <w:ind w:left="28"/>
              <w:rPr>
                <w:rFonts w:ascii="Bookman Old Style" w:hAnsi="Bookman Old Style"/>
                <w:iCs/>
                <w:sz w:val="22"/>
                <w:szCs w:val="22"/>
              </w:rPr>
            </w:pPr>
            <w:r w:rsidRPr="00F922B4">
              <w:rPr>
                <w:rFonts w:ascii="Bookman Old Style" w:hAnsi="Bookman Old Style"/>
                <w:iCs/>
                <w:sz w:val="22"/>
                <w:szCs w:val="22"/>
                <w:lang w:val="es-BO"/>
              </w:rPr>
              <w:t xml:space="preserve">El pago se realizará de </w:t>
            </w:r>
            <w:r w:rsidR="004F7EEE">
              <w:rPr>
                <w:rFonts w:ascii="Bookman Old Style" w:hAnsi="Bookman Old Style"/>
                <w:iCs/>
                <w:sz w:val="22"/>
                <w:szCs w:val="22"/>
                <w:lang w:val="es-BO"/>
              </w:rPr>
              <w:t xml:space="preserve">forma mensual </w:t>
            </w:r>
            <w:r w:rsidRPr="00F922B4">
              <w:rPr>
                <w:rFonts w:ascii="Bookman Old Style" w:hAnsi="Bookman Old Style"/>
                <w:iCs/>
                <w:sz w:val="22"/>
                <w:szCs w:val="22"/>
                <w:lang w:val="es-BO"/>
              </w:rPr>
              <w:t xml:space="preserve">vía SIGEP, previo informe de conformidad (emitido por el responsable o comisión de recepción), </w:t>
            </w:r>
            <w:r w:rsidR="00F922B4" w:rsidRPr="00F922B4">
              <w:rPr>
                <w:rFonts w:ascii="Bookman Old Style" w:hAnsi="Bookman Old Style"/>
                <w:iCs/>
                <w:sz w:val="22"/>
                <w:szCs w:val="22"/>
                <w:lang w:val="es-BO"/>
              </w:rPr>
              <w:t>documento de conciliación</w:t>
            </w:r>
            <w:r w:rsidR="004F7EEE">
              <w:rPr>
                <w:rFonts w:ascii="Bookman Old Style" w:hAnsi="Bookman Old Style"/>
                <w:iCs/>
                <w:sz w:val="22"/>
                <w:szCs w:val="22"/>
                <w:lang w:val="es-BO"/>
              </w:rPr>
              <w:t xml:space="preserve"> de uso de radiotaxis</w:t>
            </w:r>
            <w:r w:rsidRPr="00F922B4">
              <w:rPr>
                <w:rFonts w:ascii="Bookman Old Style" w:hAnsi="Bookman Old Style"/>
                <w:iCs/>
                <w:sz w:val="22"/>
                <w:szCs w:val="22"/>
                <w:lang w:val="es-BO"/>
              </w:rPr>
              <w:t xml:space="preserve"> y remisión de factura.</w:t>
            </w:r>
          </w:p>
        </w:tc>
      </w:tr>
    </w:tbl>
    <w:p w:rsidR="003E053D" w:rsidRPr="001F7A9A" w:rsidRDefault="003E053D" w:rsidP="00C4387B">
      <w:pPr>
        <w:spacing w:before="14" w:line="200" w:lineRule="exact"/>
        <w:rPr>
          <w:rFonts w:ascii="Bookman Old Style" w:hAnsi="Bookman Old Style" w:cs="Arial"/>
          <w:b/>
          <w:sz w:val="22"/>
          <w:szCs w:val="22"/>
          <w:u w:val="single"/>
          <w:lang w:val="es-ES"/>
        </w:rPr>
      </w:pPr>
      <w:bookmarkStart w:id="0" w:name="_GoBack"/>
      <w:bookmarkEnd w:id="0"/>
    </w:p>
    <w:p w:rsidR="003E053D" w:rsidRPr="00F922B4" w:rsidRDefault="003E053D" w:rsidP="002D13AF">
      <w:pPr>
        <w:spacing w:before="14" w:line="200" w:lineRule="exact"/>
        <w:jc w:val="center"/>
        <w:rPr>
          <w:rFonts w:ascii="Bookman Old Style" w:hAnsi="Bookman Old Style" w:cs="Arial"/>
          <w:b/>
          <w:sz w:val="22"/>
          <w:szCs w:val="22"/>
          <w:u w:val="single"/>
          <w:lang w:val="es-BO"/>
        </w:rPr>
      </w:pPr>
    </w:p>
    <w:p w:rsidR="00790F51" w:rsidRPr="00F922B4" w:rsidRDefault="00790F51" w:rsidP="00230459">
      <w:pPr>
        <w:rPr>
          <w:rFonts w:ascii="Bookman Old Style" w:hAnsi="Bookman Old Style" w:cs="Arial"/>
          <w:sz w:val="22"/>
          <w:szCs w:val="22"/>
          <w:lang w:val="es-BO"/>
        </w:rPr>
      </w:pPr>
    </w:p>
    <w:p w:rsidR="00794A00" w:rsidRPr="00F922B4" w:rsidRDefault="00794A00" w:rsidP="00230459">
      <w:pPr>
        <w:rPr>
          <w:rFonts w:ascii="Bookman Old Style" w:hAnsi="Bookman Old Style" w:cs="Arial"/>
          <w:sz w:val="22"/>
          <w:szCs w:val="22"/>
          <w:lang w:val="es-BO"/>
        </w:rPr>
      </w:pPr>
    </w:p>
    <w:p w:rsidR="00790F51" w:rsidRPr="00F922B4" w:rsidRDefault="00790F51" w:rsidP="0007324E">
      <w:pPr>
        <w:spacing w:before="14" w:line="200" w:lineRule="exact"/>
        <w:rPr>
          <w:rFonts w:ascii="Bookman Old Style" w:hAnsi="Bookman Old Style" w:cs="Arial"/>
          <w:b/>
          <w:sz w:val="22"/>
          <w:szCs w:val="22"/>
          <w:u w:val="single"/>
          <w:lang w:val="es-BO"/>
        </w:rPr>
      </w:pPr>
    </w:p>
    <w:sectPr w:rsidR="00790F51" w:rsidRPr="00F922B4" w:rsidSect="0007324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219" w:rsidRDefault="00245219" w:rsidP="00892432">
      <w:r>
        <w:separator/>
      </w:r>
    </w:p>
  </w:endnote>
  <w:endnote w:type="continuationSeparator" w:id="0">
    <w:p w:rsidR="00245219" w:rsidRDefault="0024521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219" w:rsidRDefault="00245219" w:rsidP="00892432">
      <w:r>
        <w:separator/>
      </w:r>
    </w:p>
  </w:footnote>
  <w:footnote w:type="continuationSeparator" w:id="0">
    <w:p w:rsidR="00245219" w:rsidRDefault="0024521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CA" w:rsidRDefault="004848CA" w:rsidP="000046B5">
    <w:pPr>
      <w:pStyle w:val="Encabezado"/>
      <w:tabs>
        <w:tab w:val="center" w:pos="5174"/>
        <w:tab w:val="left" w:pos="8056"/>
      </w:tabs>
      <w:jc w:val="center"/>
    </w:pPr>
    <w:r>
      <w:rPr>
        <w:noProof/>
        <w:lang w:val="es-ES" w:eastAsia="es-ES"/>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2290"/>
    <w:multiLevelType w:val="hybridMultilevel"/>
    <w:tmpl w:val="2A182AE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nsid w:val="20F64474"/>
    <w:multiLevelType w:val="hybridMultilevel"/>
    <w:tmpl w:val="A59CD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3A440C8A"/>
    <w:multiLevelType w:val="hybridMultilevel"/>
    <w:tmpl w:val="300A4C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nsid w:val="3FD91B45"/>
    <w:multiLevelType w:val="hybridMultilevel"/>
    <w:tmpl w:val="99B65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F97E1D"/>
    <w:multiLevelType w:val="hybridMultilevel"/>
    <w:tmpl w:val="F098A892"/>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7D2C479D"/>
    <w:multiLevelType w:val="hybridMultilevel"/>
    <w:tmpl w:val="086A0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9"/>
  </w:num>
  <w:num w:numId="6">
    <w:abstractNumId w:val="7"/>
  </w:num>
  <w:num w:numId="7">
    <w:abstractNumId w:val="0"/>
  </w:num>
  <w:num w:numId="8">
    <w:abstractNumId w:val="2"/>
  </w:num>
  <w:num w:numId="9">
    <w:abstractNumId w:val="4"/>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360"/>
    <w:rsid w:val="00025D2C"/>
    <w:rsid w:val="00036C5A"/>
    <w:rsid w:val="00042727"/>
    <w:rsid w:val="000450B2"/>
    <w:rsid w:val="00052F65"/>
    <w:rsid w:val="00065818"/>
    <w:rsid w:val="00070F19"/>
    <w:rsid w:val="0007324E"/>
    <w:rsid w:val="000761BB"/>
    <w:rsid w:val="00076C4B"/>
    <w:rsid w:val="000819D9"/>
    <w:rsid w:val="000A2224"/>
    <w:rsid w:val="000D2016"/>
    <w:rsid w:val="000D547D"/>
    <w:rsid w:val="000D5B0A"/>
    <w:rsid w:val="000D623B"/>
    <w:rsid w:val="000D7C4B"/>
    <w:rsid w:val="000D7F06"/>
    <w:rsid w:val="000E6332"/>
    <w:rsid w:val="000F2161"/>
    <w:rsid w:val="000F6704"/>
    <w:rsid w:val="0010585B"/>
    <w:rsid w:val="00114CCF"/>
    <w:rsid w:val="00120A17"/>
    <w:rsid w:val="001406DE"/>
    <w:rsid w:val="0014244E"/>
    <w:rsid w:val="00144123"/>
    <w:rsid w:val="001607A5"/>
    <w:rsid w:val="001616E5"/>
    <w:rsid w:val="00166C6D"/>
    <w:rsid w:val="001829B6"/>
    <w:rsid w:val="001979C4"/>
    <w:rsid w:val="001A2519"/>
    <w:rsid w:val="001A4DA5"/>
    <w:rsid w:val="001A5AC1"/>
    <w:rsid w:val="001C0FC4"/>
    <w:rsid w:val="001C4F81"/>
    <w:rsid w:val="001D018D"/>
    <w:rsid w:val="001D1686"/>
    <w:rsid w:val="001E2623"/>
    <w:rsid w:val="001E495E"/>
    <w:rsid w:val="001F0D01"/>
    <w:rsid w:val="001F117E"/>
    <w:rsid w:val="001F302E"/>
    <w:rsid w:val="001F7641"/>
    <w:rsid w:val="001F7A9A"/>
    <w:rsid w:val="00206F61"/>
    <w:rsid w:val="00210148"/>
    <w:rsid w:val="0023018C"/>
    <w:rsid w:val="00230459"/>
    <w:rsid w:val="00230523"/>
    <w:rsid w:val="0023240E"/>
    <w:rsid w:val="00237EC3"/>
    <w:rsid w:val="00241273"/>
    <w:rsid w:val="00242624"/>
    <w:rsid w:val="00243EE0"/>
    <w:rsid w:val="00245219"/>
    <w:rsid w:val="002466BF"/>
    <w:rsid w:val="00266030"/>
    <w:rsid w:val="0027308A"/>
    <w:rsid w:val="0028278A"/>
    <w:rsid w:val="00294F06"/>
    <w:rsid w:val="00297202"/>
    <w:rsid w:val="002A31EE"/>
    <w:rsid w:val="002A3F3A"/>
    <w:rsid w:val="002C1AC1"/>
    <w:rsid w:val="002D13AF"/>
    <w:rsid w:val="002F57B0"/>
    <w:rsid w:val="003002B0"/>
    <w:rsid w:val="00300355"/>
    <w:rsid w:val="003038C2"/>
    <w:rsid w:val="00305D89"/>
    <w:rsid w:val="00307FA2"/>
    <w:rsid w:val="003227CB"/>
    <w:rsid w:val="00322D9F"/>
    <w:rsid w:val="0033267C"/>
    <w:rsid w:val="00332744"/>
    <w:rsid w:val="003338B7"/>
    <w:rsid w:val="00341A42"/>
    <w:rsid w:val="00346BB6"/>
    <w:rsid w:val="00354ECE"/>
    <w:rsid w:val="00356460"/>
    <w:rsid w:val="00363B42"/>
    <w:rsid w:val="00363BB8"/>
    <w:rsid w:val="003902AA"/>
    <w:rsid w:val="003A27C1"/>
    <w:rsid w:val="003A2D46"/>
    <w:rsid w:val="003E053D"/>
    <w:rsid w:val="003E1E6B"/>
    <w:rsid w:val="003E40E6"/>
    <w:rsid w:val="003F0207"/>
    <w:rsid w:val="003F1F31"/>
    <w:rsid w:val="00403F60"/>
    <w:rsid w:val="0041261C"/>
    <w:rsid w:val="00441B87"/>
    <w:rsid w:val="004557FA"/>
    <w:rsid w:val="00460736"/>
    <w:rsid w:val="00463CFF"/>
    <w:rsid w:val="004848CA"/>
    <w:rsid w:val="00485A13"/>
    <w:rsid w:val="004B1923"/>
    <w:rsid w:val="004B6BC3"/>
    <w:rsid w:val="004D4FA3"/>
    <w:rsid w:val="004E171B"/>
    <w:rsid w:val="004E716B"/>
    <w:rsid w:val="004F174B"/>
    <w:rsid w:val="004F4383"/>
    <w:rsid w:val="004F5520"/>
    <w:rsid w:val="004F5BF6"/>
    <w:rsid w:val="004F77D1"/>
    <w:rsid w:val="004F7EEE"/>
    <w:rsid w:val="0050464E"/>
    <w:rsid w:val="00506A1B"/>
    <w:rsid w:val="005114B5"/>
    <w:rsid w:val="00512431"/>
    <w:rsid w:val="0051679A"/>
    <w:rsid w:val="005269C5"/>
    <w:rsid w:val="005374A9"/>
    <w:rsid w:val="0055550D"/>
    <w:rsid w:val="00570015"/>
    <w:rsid w:val="00570123"/>
    <w:rsid w:val="0057554E"/>
    <w:rsid w:val="00587EDD"/>
    <w:rsid w:val="00590CEE"/>
    <w:rsid w:val="005A3E75"/>
    <w:rsid w:val="005B2AFE"/>
    <w:rsid w:val="005C136F"/>
    <w:rsid w:val="005C46E9"/>
    <w:rsid w:val="005D366A"/>
    <w:rsid w:val="005D59F6"/>
    <w:rsid w:val="005E0DEE"/>
    <w:rsid w:val="005E45DC"/>
    <w:rsid w:val="005E75DA"/>
    <w:rsid w:val="005F2232"/>
    <w:rsid w:val="005F7217"/>
    <w:rsid w:val="006038BA"/>
    <w:rsid w:val="00607B7E"/>
    <w:rsid w:val="0062550B"/>
    <w:rsid w:val="0062708C"/>
    <w:rsid w:val="00632F1D"/>
    <w:rsid w:val="00636F37"/>
    <w:rsid w:val="00644E4E"/>
    <w:rsid w:val="00645EBB"/>
    <w:rsid w:val="006553BF"/>
    <w:rsid w:val="00665D8D"/>
    <w:rsid w:val="00672AB6"/>
    <w:rsid w:val="00677336"/>
    <w:rsid w:val="006802A3"/>
    <w:rsid w:val="006B7842"/>
    <w:rsid w:val="006B7EA2"/>
    <w:rsid w:val="006C3C12"/>
    <w:rsid w:val="006C3CC8"/>
    <w:rsid w:val="006C4EB0"/>
    <w:rsid w:val="006C7D0D"/>
    <w:rsid w:val="006E0140"/>
    <w:rsid w:val="006E30D3"/>
    <w:rsid w:val="006F1A6C"/>
    <w:rsid w:val="006F643C"/>
    <w:rsid w:val="0071234B"/>
    <w:rsid w:val="00720CE7"/>
    <w:rsid w:val="00721858"/>
    <w:rsid w:val="00725A31"/>
    <w:rsid w:val="007328AE"/>
    <w:rsid w:val="0073381B"/>
    <w:rsid w:val="00740522"/>
    <w:rsid w:val="0074264F"/>
    <w:rsid w:val="00744A61"/>
    <w:rsid w:val="00790F51"/>
    <w:rsid w:val="00794A00"/>
    <w:rsid w:val="007A06B5"/>
    <w:rsid w:val="007A242E"/>
    <w:rsid w:val="007B24F3"/>
    <w:rsid w:val="007B4E9B"/>
    <w:rsid w:val="007B503B"/>
    <w:rsid w:val="007B709A"/>
    <w:rsid w:val="007C0D98"/>
    <w:rsid w:val="007D02A7"/>
    <w:rsid w:val="007D0469"/>
    <w:rsid w:val="007E269F"/>
    <w:rsid w:val="007E3799"/>
    <w:rsid w:val="007E3F3E"/>
    <w:rsid w:val="007E54BF"/>
    <w:rsid w:val="00803AE5"/>
    <w:rsid w:val="00803C56"/>
    <w:rsid w:val="00821BDC"/>
    <w:rsid w:val="00822810"/>
    <w:rsid w:val="008305DE"/>
    <w:rsid w:val="008306C5"/>
    <w:rsid w:val="00840E64"/>
    <w:rsid w:val="008453C9"/>
    <w:rsid w:val="0084663B"/>
    <w:rsid w:val="00846DAC"/>
    <w:rsid w:val="00853F6C"/>
    <w:rsid w:val="0086121B"/>
    <w:rsid w:val="00873821"/>
    <w:rsid w:val="00892432"/>
    <w:rsid w:val="008A7021"/>
    <w:rsid w:val="008B4234"/>
    <w:rsid w:val="008B4625"/>
    <w:rsid w:val="008C3F05"/>
    <w:rsid w:val="008F22E7"/>
    <w:rsid w:val="00904415"/>
    <w:rsid w:val="00904B90"/>
    <w:rsid w:val="0091177B"/>
    <w:rsid w:val="0092619D"/>
    <w:rsid w:val="00933BCF"/>
    <w:rsid w:val="00941601"/>
    <w:rsid w:val="0095028F"/>
    <w:rsid w:val="009506A7"/>
    <w:rsid w:val="0095328C"/>
    <w:rsid w:val="0096257C"/>
    <w:rsid w:val="00962591"/>
    <w:rsid w:val="00965532"/>
    <w:rsid w:val="00970F3B"/>
    <w:rsid w:val="00973AA3"/>
    <w:rsid w:val="00977D1A"/>
    <w:rsid w:val="00984041"/>
    <w:rsid w:val="00991057"/>
    <w:rsid w:val="00993A14"/>
    <w:rsid w:val="00996EFF"/>
    <w:rsid w:val="009A2839"/>
    <w:rsid w:val="009A3DB1"/>
    <w:rsid w:val="009B36BF"/>
    <w:rsid w:val="009D36B8"/>
    <w:rsid w:val="009D5846"/>
    <w:rsid w:val="009E3025"/>
    <w:rsid w:val="009F49C0"/>
    <w:rsid w:val="00A16777"/>
    <w:rsid w:val="00A17FAC"/>
    <w:rsid w:val="00A25ED0"/>
    <w:rsid w:val="00A30E00"/>
    <w:rsid w:val="00A328F8"/>
    <w:rsid w:val="00A47F85"/>
    <w:rsid w:val="00A54A59"/>
    <w:rsid w:val="00A621A7"/>
    <w:rsid w:val="00A66AFF"/>
    <w:rsid w:val="00A707B0"/>
    <w:rsid w:val="00A71719"/>
    <w:rsid w:val="00A76B6E"/>
    <w:rsid w:val="00A80167"/>
    <w:rsid w:val="00A828C0"/>
    <w:rsid w:val="00A904BF"/>
    <w:rsid w:val="00A96AF0"/>
    <w:rsid w:val="00AA047F"/>
    <w:rsid w:val="00AA73FE"/>
    <w:rsid w:val="00AB2E9E"/>
    <w:rsid w:val="00AB3D2F"/>
    <w:rsid w:val="00AB72AA"/>
    <w:rsid w:val="00AD2738"/>
    <w:rsid w:val="00AE516C"/>
    <w:rsid w:val="00AE6F2F"/>
    <w:rsid w:val="00AF0B5B"/>
    <w:rsid w:val="00AF5D5B"/>
    <w:rsid w:val="00B105B1"/>
    <w:rsid w:val="00B160A6"/>
    <w:rsid w:val="00B2298B"/>
    <w:rsid w:val="00B30FDC"/>
    <w:rsid w:val="00B31292"/>
    <w:rsid w:val="00B36286"/>
    <w:rsid w:val="00B402A9"/>
    <w:rsid w:val="00B55DF3"/>
    <w:rsid w:val="00B6527A"/>
    <w:rsid w:val="00B66034"/>
    <w:rsid w:val="00B9127F"/>
    <w:rsid w:val="00BB14CC"/>
    <w:rsid w:val="00BB3A76"/>
    <w:rsid w:val="00BB5D99"/>
    <w:rsid w:val="00BC6BAE"/>
    <w:rsid w:val="00BD3CCA"/>
    <w:rsid w:val="00BF0258"/>
    <w:rsid w:val="00BF0FDE"/>
    <w:rsid w:val="00BF2793"/>
    <w:rsid w:val="00BF7069"/>
    <w:rsid w:val="00C01621"/>
    <w:rsid w:val="00C13DF9"/>
    <w:rsid w:val="00C14DD5"/>
    <w:rsid w:val="00C17784"/>
    <w:rsid w:val="00C23A1B"/>
    <w:rsid w:val="00C253AF"/>
    <w:rsid w:val="00C25C92"/>
    <w:rsid w:val="00C26D6A"/>
    <w:rsid w:val="00C31712"/>
    <w:rsid w:val="00C4387B"/>
    <w:rsid w:val="00C44C0D"/>
    <w:rsid w:val="00C67D29"/>
    <w:rsid w:val="00C8077E"/>
    <w:rsid w:val="00C9589F"/>
    <w:rsid w:val="00CA0FF7"/>
    <w:rsid w:val="00CA5AB6"/>
    <w:rsid w:val="00CB7616"/>
    <w:rsid w:val="00CC02D9"/>
    <w:rsid w:val="00CC4D57"/>
    <w:rsid w:val="00CD140A"/>
    <w:rsid w:val="00CE7610"/>
    <w:rsid w:val="00CF31C0"/>
    <w:rsid w:val="00D0225D"/>
    <w:rsid w:val="00D048B5"/>
    <w:rsid w:val="00D1561F"/>
    <w:rsid w:val="00D248F2"/>
    <w:rsid w:val="00D320D6"/>
    <w:rsid w:val="00D35351"/>
    <w:rsid w:val="00D369F4"/>
    <w:rsid w:val="00D41627"/>
    <w:rsid w:val="00D50075"/>
    <w:rsid w:val="00D51675"/>
    <w:rsid w:val="00D52A4F"/>
    <w:rsid w:val="00D65772"/>
    <w:rsid w:val="00D7488D"/>
    <w:rsid w:val="00D77864"/>
    <w:rsid w:val="00D872CE"/>
    <w:rsid w:val="00D90F09"/>
    <w:rsid w:val="00D937C4"/>
    <w:rsid w:val="00D94D91"/>
    <w:rsid w:val="00DA09DC"/>
    <w:rsid w:val="00DA340F"/>
    <w:rsid w:val="00DA65A1"/>
    <w:rsid w:val="00DB0800"/>
    <w:rsid w:val="00DB74B6"/>
    <w:rsid w:val="00DE36B1"/>
    <w:rsid w:val="00DF408E"/>
    <w:rsid w:val="00DF6B2D"/>
    <w:rsid w:val="00DF6DFD"/>
    <w:rsid w:val="00E073F6"/>
    <w:rsid w:val="00E0788D"/>
    <w:rsid w:val="00E2046E"/>
    <w:rsid w:val="00E22549"/>
    <w:rsid w:val="00E42A87"/>
    <w:rsid w:val="00E4645A"/>
    <w:rsid w:val="00E52194"/>
    <w:rsid w:val="00E54B33"/>
    <w:rsid w:val="00E6201C"/>
    <w:rsid w:val="00E70174"/>
    <w:rsid w:val="00E81B52"/>
    <w:rsid w:val="00E866A5"/>
    <w:rsid w:val="00E948A1"/>
    <w:rsid w:val="00EB34B9"/>
    <w:rsid w:val="00EC20B4"/>
    <w:rsid w:val="00EC3102"/>
    <w:rsid w:val="00EC50E2"/>
    <w:rsid w:val="00EC6678"/>
    <w:rsid w:val="00EC6BD4"/>
    <w:rsid w:val="00EC7B55"/>
    <w:rsid w:val="00EE2533"/>
    <w:rsid w:val="00EE2C44"/>
    <w:rsid w:val="00EE544E"/>
    <w:rsid w:val="00EF21AB"/>
    <w:rsid w:val="00EF785C"/>
    <w:rsid w:val="00F0232C"/>
    <w:rsid w:val="00F12F9F"/>
    <w:rsid w:val="00F134DA"/>
    <w:rsid w:val="00F14EF8"/>
    <w:rsid w:val="00F158A6"/>
    <w:rsid w:val="00F24E60"/>
    <w:rsid w:val="00F301F7"/>
    <w:rsid w:val="00F36D04"/>
    <w:rsid w:val="00F414D0"/>
    <w:rsid w:val="00F5298C"/>
    <w:rsid w:val="00F6316F"/>
    <w:rsid w:val="00F6716A"/>
    <w:rsid w:val="00F71FC0"/>
    <w:rsid w:val="00F73B77"/>
    <w:rsid w:val="00F77EF6"/>
    <w:rsid w:val="00F922B4"/>
    <w:rsid w:val="00F94322"/>
    <w:rsid w:val="00F968F8"/>
    <w:rsid w:val="00F97521"/>
    <w:rsid w:val="00FA10CC"/>
    <w:rsid w:val="00FB37C6"/>
    <w:rsid w:val="00FB3BA7"/>
    <w:rsid w:val="00FB3EDD"/>
    <w:rsid w:val="00FB61ED"/>
    <w:rsid w:val="00FC4081"/>
    <w:rsid w:val="00FD27C7"/>
    <w:rsid w:val="00FD444C"/>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16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73867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402C-3548-4B32-8159-E26B8A37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Candy Giovana Alanoca Vicente</cp:lastModifiedBy>
  <cp:revision>4</cp:revision>
  <cp:lastPrinted>2021-03-02T18:55:00Z</cp:lastPrinted>
  <dcterms:created xsi:type="dcterms:W3CDTF">2021-03-02T15:35:00Z</dcterms:created>
  <dcterms:modified xsi:type="dcterms:W3CDTF">2021-03-02T19:08:00Z</dcterms:modified>
</cp:coreProperties>
</file>