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37A" w:rsidRPr="00736756" w:rsidRDefault="00494035" w:rsidP="003853E1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</w:p>
    <w:p w:rsidR="003A69B3" w:rsidRPr="00736756" w:rsidRDefault="003A69B3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8"/>
      </w:tblGrid>
      <w:tr w:rsidR="003A69B3" w:rsidRPr="00736756" w:rsidTr="00F72332">
        <w:trPr>
          <w:trHeight w:val="695"/>
        </w:trPr>
        <w:tc>
          <w:tcPr>
            <w:tcW w:w="5000" w:type="pct"/>
            <w:shd w:val="clear" w:color="auto" w:fill="DBDBDB"/>
          </w:tcPr>
          <w:p w:rsidR="003A69B3" w:rsidRPr="00736756" w:rsidRDefault="003A69B3" w:rsidP="003F2BB3">
            <w:pPr>
              <w:ind w:left="-360" w:right="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6756">
              <w:rPr>
                <w:rFonts w:ascii="Arial" w:hAnsi="Arial" w:cs="Arial"/>
                <w:b/>
                <w:bCs/>
                <w:sz w:val="20"/>
                <w:szCs w:val="20"/>
              </w:rPr>
              <w:t>ESPECIFICACIONES TÉCNICAS</w:t>
            </w:r>
          </w:p>
          <w:p w:rsidR="003A69B3" w:rsidRPr="00736756" w:rsidRDefault="003A167C" w:rsidP="009E5ECE">
            <w:pPr>
              <w:pStyle w:val="1"/>
              <w:spacing w:before="0" w:after="0"/>
              <w:rPr>
                <w:rFonts w:ascii="Arial" w:hAnsi="Arial"/>
                <w:b w:val="0"/>
                <w:bCs w:val="0"/>
                <w:szCs w:val="20"/>
              </w:rPr>
            </w:pPr>
            <w:r>
              <w:rPr>
                <w:rFonts w:ascii="Arial" w:hAnsi="Arial"/>
                <w:kern w:val="0"/>
                <w:szCs w:val="20"/>
                <w:lang w:val="es-ES" w:eastAsia="es-ES"/>
              </w:rPr>
              <w:t>“</w:t>
            </w:r>
            <w:r w:rsidR="001903F1" w:rsidRPr="001903F1">
              <w:rPr>
                <w:rFonts w:ascii="Arial" w:hAnsi="Arial"/>
                <w:kern w:val="0"/>
                <w:szCs w:val="20"/>
                <w:lang w:val="es-ES" w:eastAsia="es-ES"/>
              </w:rPr>
              <w:t xml:space="preserve">SERVICIO </w:t>
            </w:r>
            <w:r w:rsidR="009E5ECE">
              <w:rPr>
                <w:rFonts w:ascii="Arial" w:hAnsi="Arial"/>
                <w:kern w:val="0"/>
                <w:szCs w:val="20"/>
                <w:lang w:val="es-ES" w:eastAsia="es-ES"/>
              </w:rPr>
              <w:t xml:space="preserve">DE PROVISION DE PASAJES AEREOS </w:t>
            </w:r>
            <w:r w:rsidR="001903F1" w:rsidRPr="001903F1">
              <w:rPr>
                <w:rFonts w:ascii="Arial" w:hAnsi="Arial"/>
                <w:kern w:val="0"/>
                <w:szCs w:val="20"/>
                <w:lang w:val="es-ES" w:eastAsia="es-ES"/>
              </w:rPr>
              <w:t xml:space="preserve">NACIONALES E INTERNACIONALES Y SEGURO DE VIAJE PARA EL TRIBUNAL SUPREMO ELECTORAL </w:t>
            </w:r>
            <w:r w:rsidR="00AF2118">
              <w:rPr>
                <w:rFonts w:ascii="Arial" w:hAnsi="Arial"/>
                <w:kern w:val="0"/>
                <w:szCs w:val="20"/>
                <w:lang w:val="es-ES" w:eastAsia="es-ES"/>
              </w:rPr>
              <w:t>–</w:t>
            </w:r>
            <w:r w:rsidR="001903F1" w:rsidRPr="001903F1">
              <w:rPr>
                <w:rFonts w:ascii="Arial" w:hAnsi="Arial"/>
                <w:kern w:val="0"/>
                <w:szCs w:val="20"/>
                <w:lang w:val="es-ES" w:eastAsia="es-ES"/>
              </w:rPr>
              <w:t xml:space="preserve"> </w:t>
            </w:r>
            <w:r w:rsidR="00AF2118">
              <w:rPr>
                <w:rFonts w:ascii="Arial" w:hAnsi="Arial"/>
                <w:kern w:val="0"/>
                <w:szCs w:val="20"/>
                <w:lang w:val="es-ES" w:eastAsia="es-ES"/>
              </w:rPr>
              <w:t>GESTIÓN 2021 (SEGUNDA FASE)</w:t>
            </w:r>
            <w:r w:rsidR="00494035" w:rsidRPr="003A167C">
              <w:rPr>
                <w:rFonts w:ascii="Arial" w:hAnsi="Arial"/>
                <w:kern w:val="0"/>
                <w:szCs w:val="20"/>
                <w:lang w:val="es-ES" w:eastAsia="es-ES"/>
              </w:rPr>
              <w:t>"</w:t>
            </w:r>
          </w:p>
        </w:tc>
      </w:tr>
    </w:tbl>
    <w:p w:rsidR="003A69B3" w:rsidRPr="005059C4" w:rsidRDefault="003A69B3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sz w:val="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8"/>
      </w:tblGrid>
      <w:tr w:rsidR="00E81F7D" w:rsidRPr="00736756" w:rsidTr="00F72332">
        <w:trPr>
          <w:cantSplit/>
          <w:trHeight w:hRule="exact" w:val="90"/>
          <w:tblHeader/>
        </w:trPr>
        <w:tc>
          <w:tcPr>
            <w:tcW w:w="5000" w:type="pct"/>
            <w:vMerge w:val="restart"/>
            <w:shd w:val="clear" w:color="auto" w:fill="D9D9D9"/>
            <w:vAlign w:val="center"/>
          </w:tcPr>
          <w:p w:rsidR="00E81F7D" w:rsidRPr="00736756" w:rsidRDefault="00AE4A6B" w:rsidP="00AE4A6B">
            <w:pPr>
              <w:pStyle w:val="Textoindependiente3"/>
              <w:ind w:left="-70"/>
              <w:jc w:val="center"/>
              <w:rPr>
                <w:b/>
                <w:bCs/>
                <w:sz w:val="20"/>
              </w:rPr>
            </w:pPr>
            <w:r w:rsidRPr="00736756">
              <w:rPr>
                <w:b/>
                <w:bCs/>
                <w:sz w:val="20"/>
              </w:rPr>
              <w:t>REQUISITOS NECESARIOS DEL(LOS) SERVICIO(S) Y LAS CONDICIONES COMPLEMENTARIAS</w:t>
            </w:r>
          </w:p>
        </w:tc>
      </w:tr>
      <w:tr w:rsidR="00E81F7D" w:rsidRPr="00736756" w:rsidTr="00F72332">
        <w:trPr>
          <w:cantSplit/>
          <w:trHeight w:val="250"/>
          <w:tblHeader/>
        </w:trPr>
        <w:tc>
          <w:tcPr>
            <w:tcW w:w="5000" w:type="pct"/>
            <w:vMerge/>
            <w:shd w:val="clear" w:color="auto" w:fill="D9D9D9"/>
            <w:vAlign w:val="center"/>
          </w:tcPr>
          <w:p w:rsidR="00E81F7D" w:rsidRPr="00736756" w:rsidRDefault="00E81F7D">
            <w:pPr>
              <w:pStyle w:val="xl29"/>
              <w:rPr>
                <w:b/>
                <w:bCs/>
                <w:sz w:val="20"/>
                <w:szCs w:val="20"/>
              </w:rPr>
            </w:pPr>
          </w:p>
        </w:tc>
      </w:tr>
      <w:tr w:rsidR="00E81F7D" w:rsidRPr="00736756" w:rsidTr="00F72332">
        <w:trPr>
          <w:cantSplit/>
          <w:trHeight w:val="230"/>
          <w:tblHeader/>
        </w:trPr>
        <w:tc>
          <w:tcPr>
            <w:tcW w:w="5000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1F7D" w:rsidRPr="00736756" w:rsidRDefault="00E81F7D">
            <w:pPr>
              <w:pStyle w:val="Textoindependiente3"/>
              <w:rPr>
                <w:b/>
                <w:bCs/>
                <w:sz w:val="20"/>
              </w:rPr>
            </w:pPr>
          </w:p>
        </w:tc>
      </w:tr>
      <w:tr w:rsidR="00E81F7D" w:rsidRPr="00736756" w:rsidTr="005059C4">
        <w:trPr>
          <w:cantSplit/>
          <w:trHeight w:val="313"/>
        </w:trPr>
        <w:tc>
          <w:tcPr>
            <w:tcW w:w="5000" w:type="pct"/>
            <w:shd w:val="clear" w:color="auto" w:fill="767171"/>
            <w:vAlign w:val="center"/>
          </w:tcPr>
          <w:p w:rsidR="00E81F7D" w:rsidRPr="00736756" w:rsidRDefault="00AE4A6B" w:rsidP="00AE4A6B">
            <w:pPr>
              <w:pStyle w:val="Textoindependiente3"/>
              <w:numPr>
                <w:ilvl w:val="0"/>
                <w:numId w:val="6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 w:rsidRPr="00736756">
              <w:rPr>
                <w:b/>
                <w:bCs/>
                <w:color w:val="FFFFFF"/>
                <w:sz w:val="20"/>
              </w:rPr>
              <w:t>JUSTIFICACIÓN DEL SERVICIO</w:t>
            </w:r>
          </w:p>
        </w:tc>
      </w:tr>
      <w:tr w:rsidR="00E81F7D" w:rsidRPr="00736756" w:rsidTr="00156818">
        <w:trPr>
          <w:cantSplit/>
          <w:trHeight w:val="669"/>
        </w:trPr>
        <w:tc>
          <w:tcPr>
            <w:tcW w:w="5000" w:type="pct"/>
            <w:shd w:val="clear" w:color="auto" w:fill="auto"/>
            <w:vAlign w:val="center"/>
          </w:tcPr>
          <w:p w:rsidR="00F207E3" w:rsidRDefault="00607A84" w:rsidP="00FF2D77">
            <w:pPr>
              <w:pStyle w:val="Puesto"/>
              <w:spacing w:before="0"/>
              <w:jc w:val="both"/>
              <w:rPr>
                <w:rFonts w:ascii="Bookman Old Style" w:hAnsi="Bookman Old Style" w:cs="Arial"/>
                <w:b w:val="0"/>
                <w:bCs w:val="0"/>
                <w:iCs/>
                <w:kern w:val="0"/>
                <w:sz w:val="20"/>
                <w:szCs w:val="20"/>
              </w:rPr>
            </w:pPr>
            <w:r w:rsidRPr="00FF2D77">
              <w:rPr>
                <w:rFonts w:ascii="Bookman Old Style" w:hAnsi="Bookman Old Style"/>
                <w:b w:val="0"/>
                <w:sz w:val="20"/>
              </w:rPr>
              <w:t xml:space="preserve">La Ley N° </w:t>
            </w:r>
            <w:r w:rsidR="00F77EC7" w:rsidRPr="00FF2D77">
              <w:rPr>
                <w:rFonts w:ascii="Bookman Old Style" w:hAnsi="Bookman Old Style"/>
                <w:b w:val="0"/>
                <w:sz w:val="20"/>
              </w:rPr>
              <w:t>0</w:t>
            </w:r>
            <w:r w:rsidRPr="00FF2D77">
              <w:rPr>
                <w:rFonts w:ascii="Bookman Old Style" w:hAnsi="Bookman Old Style"/>
                <w:b w:val="0"/>
                <w:sz w:val="20"/>
              </w:rPr>
              <w:t xml:space="preserve">18 del </w:t>
            </w:r>
            <w:r w:rsidR="00BB2A98" w:rsidRPr="00FF2D77">
              <w:rPr>
                <w:rFonts w:ascii="Bookman Old Style" w:hAnsi="Bookman Old Style"/>
                <w:b w:val="0"/>
                <w:kern w:val="0"/>
                <w:sz w:val="20"/>
              </w:rPr>
              <w:t xml:space="preserve">Órgano </w:t>
            </w:r>
            <w:r w:rsidR="00D573D8" w:rsidRPr="00FF2D77">
              <w:rPr>
                <w:rFonts w:ascii="Bookman Old Style" w:hAnsi="Bookman Old Style"/>
                <w:b w:val="0"/>
                <w:kern w:val="0"/>
                <w:sz w:val="20"/>
              </w:rPr>
              <w:t>Electoral P</w:t>
            </w:r>
            <w:r w:rsidR="00BB2A98" w:rsidRPr="00FF2D77">
              <w:rPr>
                <w:rFonts w:ascii="Bookman Old Style" w:hAnsi="Bookman Old Style"/>
                <w:b w:val="0"/>
                <w:kern w:val="0"/>
                <w:sz w:val="20"/>
              </w:rPr>
              <w:t xml:space="preserve">lurinacional </w:t>
            </w:r>
            <w:r w:rsidRPr="00FF2D77">
              <w:rPr>
                <w:rFonts w:ascii="Bookman Old Style" w:hAnsi="Bookman Old Style" w:cs="Arial"/>
                <w:b w:val="0"/>
                <w:bCs w:val="0"/>
                <w:iCs/>
                <w:kern w:val="0"/>
                <w:sz w:val="20"/>
                <w:szCs w:val="20"/>
              </w:rPr>
              <w:t>promulgada</w:t>
            </w:r>
            <w:r w:rsidR="00BB2A98" w:rsidRPr="00FF2D77">
              <w:rPr>
                <w:rFonts w:ascii="Bookman Old Style" w:hAnsi="Bookman Old Style"/>
                <w:b w:val="0"/>
                <w:kern w:val="0"/>
                <w:sz w:val="20"/>
              </w:rPr>
              <w:t xml:space="preserve"> en </w:t>
            </w:r>
            <w:r w:rsidRPr="00FF2D77">
              <w:rPr>
                <w:rFonts w:ascii="Bookman Old Style" w:hAnsi="Bookman Old Style" w:cs="Arial"/>
                <w:b w:val="0"/>
                <w:bCs w:val="0"/>
                <w:iCs/>
                <w:kern w:val="0"/>
                <w:sz w:val="20"/>
                <w:szCs w:val="20"/>
              </w:rPr>
              <w:t>fecha 16 de junio de 2010 establece, competencias</w:t>
            </w:r>
            <w:r w:rsidRPr="003853E1">
              <w:rPr>
                <w:rFonts w:ascii="Bookman Old Style" w:hAnsi="Bookman Old Style" w:cs="Arial"/>
                <w:b w:val="0"/>
                <w:bCs w:val="0"/>
                <w:iCs/>
                <w:kern w:val="0"/>
                <w:sz w:val="20"/>
                <w:szCs w:val="20"/>
              </w:rPr>
              <w:t xml:space="preserve">, obligaciones y atribuciones del Tribunal Supremo Electoral con el propósito de cumplir con el mandato recibido. </w:t>
            </w:r>
          </w:p>
          <w:p w:rsidR="00EB6F15" w:rsidRPr="00FF2D77" w:rsidRDefault="00EB6F15" w:rsidP="00EB6F15">
            <w:pPr>
              <w:rPr>
                <w:sz w:val="2"/>
              </w:rPr>
            </w:pPr>
          </w:p>
          <w:p w:rsidR="00F207E3" w:rsidRPr="005059C4" w:rsidRDefault="00F207E3" w:rsidP="00F207E3">
            <w:pPr>
              <w:rPr>
                <w:rFonts w:ascii="Bookman Old Style" w:hAnsi="Bookman Old Style"/>
                <w:sz w:val="2"/>
              </w:rPr>
            </w:pPr>
          </w:p>
          <w:p w:rsidR="00F207E3" w:rsidRPr="003853E1" w:rsidRDefault="003853E1" w:rsidP="007232A8">
            <w:pPr>
              <w:jc w:val="both"/>
              <w:rPr>
                <w:rFonts w:ascii="Bookman Old Style" w:hAnsi="Bookman Old Style" w:cs="Arial"/>
                <w:iCs/>
                <w:sz w:val="20"/>
                <w:szCs w:val="20"/>
              </w:rPr>
            </w:pPr>
            <w:r>
              <w:rPr>
                <w:rFonts w:ascii="Bookman Old Style" w:hAnsi="Bookman Old Style" w:cs="Arial"/>
                <w:iCs/>
                <w:sz w:val="20"/>
                <w:szCs w:val="20"/>
              </w:rPr>
              <w:t xml:space="preserve">En fecha </w:t>
            </w:r>
            <w:r w:rsidR="007232A8">
              <w:rPr>
                <w:rFonts w:ascii="Bookman Old Style" w:hAnsi="Bookman Old Style" w:cs="Arial"/>
                <w:iCs/>
                <w:sz w:val="20"/>
                <w:szCs w:val="20"/>
              </w:rPr>
              <w:t xml:space="preserve">28 de julio de 2021 se efectivizo la resolución del Contrato Administrativo de Servicios TSE-DNJ-SC N° 02/2021 por el servicio de Provisión de Pasajes Aéreos Nacionales e Internaciones y Seguro para el Tribunal Supremo Electoral Gestión 2021, por lo que se debe prever la contratación de una nueva </w:t>
            </w:r>
            <w:r w:rsidR="00B55B52">
              <w:rPr>
                <w:rFonts w:ascii="Bookman Old Style" w:hAnsi="Bookman Old Style" w:cs="Arial"/>
                <w:iCs/>
                <w:sz w:val="20"/>
                <w:szCs w:val="20"/>
              </w:rPr>
              <w:t>empresa</w:t>
            </w:r>
            <w:r w:rsidR="007232A8">
              <w:rPr>
                <w:rFonts w:ascii="Bookman Old Style" w:hAnsi="Bookman Old Style" w:cs="Arial"/>
                <w:iCs/>
                <w:sz w:val="20"/>
                <w:szCs w:val="20"/>
              </w:rPr>
              <w:t xml:space="preserve"> para la provisión del servicio requerido</w:t>
            </w:r>
            <w:r w:rsidR="00F207E3" w:rsidRPr="003853E1">
              <w:rPr>
                <w:rFonts w:ascii="Bookman Old Style" w:hAnsi="Bookman Old Style" w:cs="Arial"/>
                <w:iCs/>
                <w:sz w:val="20"/>
                <w:szCs w:val="20"/>
              </w:rPr>
              <w:t>.</w:t>
            </w:r>
          </w:p>
          <w:p w:rsidR="00D573D8" w:rsidRPr="005059C4" w:rsidRDefault="00D573D8" w:rsidP="00BB2A98">
            <w:pPr>
              <w:jc w:val="both"/>
              <w:rPr>
                <w:rFonts w:ascii="Bookman Old Style" w:hAnsi="Bookman Old Style" w:cs="Arial"/>
                <w:iCs/>
                <w:sz w:val="6"/>
                <w:szCs w:val="20"/>
              </w:rPr>
            </w:pPr>
          </w:p>
          <w:p w:rsidR="00EB6F15" w:rsidRPr="00FF2D77" w:rsidRDefault="00EB6F15" w:rsidP="00BB2A98">
            <w:pPr>
              <w:jc w:val="both"/>
              <w:rPr>
                <w:rFonts w:ascii="Bookman Old Style" w:hAnsi="Bookman Old Style" w:cs="Arial"/>
                <w:iCs/>
                <w:sz w:val="2"/>
                <w:szCs w:val="20"/>
              </w:rPr>
            </w:pPr>
          </w:p>
          <w:p w:rsidR="003853E1" w:rsidRDefault="00607A84" w:rsidP="003853E1">
            <w:pPr>
              <w:jc w:val="both"/>
              <w:rPr>
                <w:rFonts w:ascii="Bookman Old Style" w:hAnsi="Bookman Old Style" w:cs="Arial"/>
                <w:iCs/>
                <w:sz w:val="20"/>
                <w:szCs w:val="20"/>
              </w:rPr>
            </w:pPr>
            <w:r w:rsidRPr="003853E1">
              <w:rPr>
                <w:rFonts w:ascii="Bookman Old Style" w:hAnsi="Bookman Old Style" w:cs="Arial"/>
                <w:iCs/>
                <w:sz w:val="20"/>
                <w:szCs w:val="20"/>
              </w:rPr>
              <w:t xml:space="preserve">En </w:t>
            </w:r>
            <w:r w:rsidR="00BB2A98" w:rsidRPr="003853E1">
              <w:rPr>
                <w:rFonts w:ascii="Bookman Old Style" w:hAnsi="Bookman Old Style" w:cs="Arial"/>
                <w:iCs/>
                <w:sz w:val="20"/>
                <w:szCs w:val="20"/>
              </w:rPr>
              <w:t xml:space="preserve">el marco </w:t>
            </w:r>
            <w:r w:rsidRPr="003853E1">
              <w:rPr>
                <w:rFonts w:ascii="Bookman Old Style" w:hAnsi="Bookman Old Style" w:cs="Arial"/>
                <w:iCs/>
                <w:sz w:val="20"/>
                <w:szCs w:val="20"/>
              </w:rPr>
              <w:t>del Decreto Supremo N°</w:t>
            </w:r>
            <w:r w:rsidR="00BB2A98" w:rsidRPr="003853E1">
              <w:rPr>
                <w:rFonts w:ascii="Bookman Old Style" w:hAnsi="Bookman Old Style" w:cs="Arial"/>
                <w:iCs/>
                <w:sz w:val="20"/>
                <w:szCs w:val="20"/>
              </w:rPr>
              <w:t xml:space="preserve"> 0181 </w:t>
            </w:r>
            <w:r w:rsidRPr="003853E1">
              <w:rPr>
                <w:rFonts w:ascii="Bookman Old Style" w:hAnsi="Bookman Old Style" w:cs="Arial"/>
                <w:iCs/>
                <w:sz w:val="20"/>
                <w:szCs w:val="20"/>
              </w:rPr>
              <w:t>del 28 de junio de 2009, Normas Básicas del Sistema de Administración de Bienes y Servicios (</w:t>
            </w:r>
            <w:r w:rsidR="00BB2A98" w:rsidRPr="003853E1">
              <w:rPr>
                <w:rFonts w:ascii="Bookman Old Style" w:hAnsi="Bookman Old Style" w:cs="Arial"/>
                <w:iCs/>
                <w:sz w:val="20"/>
                <w:szCs w:val="20"/>
              </w:rPr>
              <w:t>NB</w:t>
            </w:r>
            <w:r w:rsidRPr="003853E1">
              <w:rPr>
                <w:rFonts w:ascii="Bookman Old Style" w:hAnsi="Bookman Old Style" w:cs="Arial"/>
                <w:iCs/>
                <w:sz w:val="20"/>
                <w:szCs w:val="20"/>
              </w:rPr>
              <w:t>-</w:t>
            </w:r>
            <w:r w:rsidR="00BB2A98" w:rsidRPr="003853E1">
              <w:rPr>
                <w:rFonts w:ascii="Bookman Old Style" w:hAnsi="Bookman Old Style" w:cs="Arial"/>
                <w:iCs/>
                <w:sz w:val="20"/>
                <w:szCs w:val="20"/>
              </w:rPr>
              <w:t>SABS</w:t>
            </w:r>
            <w:r w:rsidRPr="003853E1">
              <w:rPr>
                <w:rFonts w:ascii="Bookman Old Style" w:hAnsi="Bookman Old Style" w:cs="Arial"/>
                <w:iCs/>
                <w:sz w:val="20"/>
                <w:szCs w:val="20"/>
              </w:rPr>
              <w:t>) y disposiciones legales conexas,</w:t>
            </w:r>
            <w:r w:rsidRPr="003853E1">
              <w:rPr>
                <w:rFonts w:ascii="Bookman Old Style" w:hAnsi="Bookman Old Style"/>
                <w:b/>
                <w:bCs/>
              </w:rPr>
              <w:t xml:space="preserve"> </w:t>
            </w:r>
            <w:r w:rsidR="007232A8" w:rsidRPr="007232A8">
              <w:rPr>
                <w:rFonts w:ascii="Bookman Old Style" w:hAnsi="Bookman Old Style" w:cs="Arial"/>
                <w:iCs/>
                <w:sz w:val="20"/>
                <w:szCs w:val="20"/>
              </w:rPr>
              <w:t xml:space="preserve">se </w:t>
            </w:r>
            <w:r w:rsidR="00BB2A98" w:rsidRPr="003853E1">
              <w:rPr>
                <w:rFonts w:ascii="Bookman Old Style" w:hAnsi="Bookman Old Style" w:cs="Arial"/>
                <w:iCs/>
                <w:sz w:val="20"/>
                <w:szCs w:val="20"/>
              </w:rPr>
              <w:t xml:space="preserve">requiere </w:t>
            </w:r>
            <w:r w:rsidR="0016619D" w:rsidRPr="003853E1">
              <w:rPr>
                <w:rFonts w:ascii="Bookman Old Style" w:hAnsi="Bookman Old Style" w:cs="Arial"/>
                <w:iCs/>
                <w:sz w:val="20"/>
                <w:szCs w:val="20"/>
              </w:rPr>
              <w:t xml:space="preserve">contratar a una </w:t>
            </w:r>
            <w:r w:rsidR="00B55B52">
              <w:rPr>
                <w:rFonts w:ascii="Bookman Old Style" w:hAnsi="Bookman Old Style" w:cs="Arial"/>
                <w:iCs/>
                <w:sz w:val="20"/>
                <w:szCs w:val="20"/>
              </w:rPr>
              <w:t>empresa</w:t>
            </w:r>
            <w:r w:rsidR="003853E1" w:rsidRPr="003853E1">
              <w:rPr>
                <w:rFonts w:ascii="Bookman Old Style" w:hAnsi="Bookman Old Style" w:cs="Arial"/>
                <w:iCs/>
                <w:sz w:val="20"/>
                <w:szCs w:val="20"/>
              </w:rPr>
              <w:t xml:space="preserve"> para la provisión de pasajes aéreos nacionales, internacionales y seguros (tarjetas de asistencia al viajero) para atender las comisiones de viaje oficiales de los servidores públicos del Tribunal Supremo Electoral</w:t>
            </w:r>
            <w:r w:rsidR="00EB6F15">
              <w:rPr>
                <w:rFonts w:ascii="Bookman Old Style" w:hAnsi="Bookman Old Style" w:cs="Arial"/>
                <w:iCs/>
                <w:sz w:val="20"/>
                <w:szCs w:val="20"/>
              </w:rPr>
              <w:t>.</w:t>
            </w:r>
          </w:p>
          <w:p w:rsidR="002705B1" w:rsidRDefault="002705B1" w:rsidP="003853E1">
            <w:pPr>
              <w:jc w:val="both"/>
              <w:rPr>
                <w:rFonts w:ascii="Bookman Old Style" w:hAnsi="Bookman Old Style" w:cs="Arial"/>
                <w:iCs/>
                <w:sz w:val="20"/>
                <w:szCs w:val="20"/>
              </w:rPr>
            </w:pPr>
          </w:p>
          <w:p w:rsidR="002705B1" w:rsidRDefault="002705B1" w:rsidP="003853E1">
            <w:pPr>
              <w:jc w:val="both"/>
              <w:rPr>
                <w:rFonts w:ascii="Bookman Old Style" w:hAnsi="Bookman Old Style" w:cs="Arial"/>
                <w:iCs/>
                <w:sz w:val="20"/>
                <w:szCs w:val="20"/>
              </w:rPr>
            </w:pPr>
            <w:r>
              <w:rPr>
                <w:rFonts w:ascii="Bookman Old Style" w:hAnsi="Bookman Old Style" w:cs="Arial"/>
                <w:iCs/>
                <w:sz w:val="20"/>
                <w:szCs w:val="20"/>
              </w:rPr>
              <w:t xml:space="preserve">Mediante </w:t>
            </w:r>
            <w:r w:rsidR="0060722E" w:rsidRPr="00AA4DDB">
              <w:rPr>
                <w:rFonts w:ascii="Bookman Old Style" w:hAnsi="Bookman Old Style" w:cs="Arial"/>
                <w:iCs/>
                <w:sz w:val="20"/>
                <w:szCs w:val="20"/>
              </w:rPr>
              <w:t>informe TSE-DNEF-SC N°445/2021</w:t>
            </w:r>
            <w:r w:rsidR="00B912F5">
              <w:rPr>
                <w:rFonts w:ascii="Bookman Old Style" w:hAnsi="Bookman Old Style" w:cs="Arial"/>
                <w:b/>
                <w:iCs/>
                <w:sz w:val="20"/>
                <w:szCs w:val="20"/>
              </w:rPr>
              <w:t xml:space="preserve"> </w:t>
            </w:r>
            <w:r w:rsidR="0060722E">
              <w:rPr>
                <w:rFonts w:ascii="Bookman Old Style" w:hAnsi="Bookman Old Style" w:cs="Arial"/>
                <w:iCs/>
                <w:sz w:val="20"/>
                <w:szCs w:val="20"/>
              </w:rPr>
              <w:t xml:space="preserve">se solicitó a la Sala Plena la autorización para </w:t>
            </w:r>
            <w:r>
              <w:rPr>
                <w:rFonts w:ascii="Bookman Old Style" w:hAnsi="Bookman Old Style" w:cs="Arial"/>
                <w:iCs/>
                <w:sz w:val="20"/>
                <w:szCs w:val="20"/>
              </w:rPr>
              <w:t>la contratación por Excepción de una empresa para el Servicio de Provisión de Pasajes Aéreos Nacionales e Internacionales y Seguros para el Tribunal Supremo Electoral</w:t>
            </w:r>
            <w:r w:rsidR="00B912F5">
              <w:rPr>
                <w:rFonts w:ascii="Bookman Old Style" w:hAnsi="Bookman Old Style" w:cs="Arial"/>
                <w:iCs/>
                <w:sz w:val="20"/>
                <w:szCs w:val="20"/>
              </w:rPr>
              <w:t>,, instancia que decidió dar continuidad al proceso de Contratación por Excepción.</w:t>
            </w:r>
          </w:p>
          <w:p w:rsidR="00EB6F15" w:rsidRPr="00FF2D77" w:rsidRDefault="00EB6F15" w:rsidP="003853E1">
            <w:pPr>
              <w:jc w:val="both"/>
              <w:rPr>
                <w:rFonts w:ascii="Bookman Old Style" w:hAnsi="Bookman Old Style" w:cs="Arial"/>
                <w:iCs/>
                <w:sz w:val="4"/>
                <w:szCs w:val="20"/>
              </w:rPr>
            </w:pPr>
          </w:p>
        </w:tc>
      </w:tr>
      <w:tr w:rsidR="00E81F7D" w:rsidRPr="00736756" w:rsidTr="00FF2D77">
        <w:trPr>
          <w:cantSplit/>
          <w:trHeight w:val="317"/>
        </w:trPr>
        <w:tc>
          <w:tcPr>
            <w:tcW w:w="5000" w:type="pct"/>
            <w:shd w:val="clear" w:color="auto" w:fill="767171"/>
            <w:vAlign w:val="center"/>
          </w:tcPr>
          <w:p w:rsidR="00E81F7D" w:rsidRPr="007232A8" w:rsidRDefault="00312010" w:rsidP="00312010">
            <w:pPr>
              <w:pStyle w:val="Textoindependiente3"/>
              <w:numPr>
                <w:ilvl w:val="0"/>
                <w:numId w:val="6"/>
              </w:numPr>
              <w:rPr>
                <w:rFonts w:ascii="Bookman Old Style" w:hAnsi="Bookman Old Style"/>
                <w:b/>
                <w:bCs/>
                <w:i/>
                <w:iCs/>
                <w:color w:val="FFFFFF"/>
                <w:sz w:val="20"/>
              </w:rPr>
            </w:pPr>
            <w:r w:rsidRPr="007232A8">
              <w:rPr>
                <w:rFonts w:ascii="Bookman Old Style" w:hAnsi="Bookman Old Style"/>
                <w:b/>
                <w:bCs/>
                <w:color w:val="FFFFFF"/>
                <w:sz w:val="20"/>
              </w:rPr>
              <w:t>CARACTERÍSTICAS GENERALES DEL (LOS) SERVICIO(S)</w:t>
            </w:r>
          </w:p>
        </w:tc>
      </w:tr>
      <w:tr w:rsidR="00E81F7D" w:rsidRPr="00736756" w:rsidTr="00FF2D77">
        <w:trPr>
          <w:cantSplit/>
          <w:trHeight w:val="311"/>
        </w:trPr>
        <w:tc>
          <w:tcPr>
            <w:tcW w:w="5000" w:type="pct"/>
            <w:shd w:val="clear" w:color="auto" w:fill="B4C6E7"/>
            <w:vAlign w:val="center"/>
          </w:tcPr>
          <w:p w:rsidR="00AE4A6B" w:rsidRPr="00EB6F15" w:rsidRDefault="00E81F7D" w:rsidP="00873E6A">
            <w:pPr>
              <w:pStyle w:val="Textoindependiente3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0"/>
              </w:rPr>
            </w:pPr>
            <w:r w:rsidRPr="007232A8">
              <w:rPr>
                <w:rFonts w:ascii="Bookman Old Style" w:hAnsi="Bookman Old Style"/>
                <w:b/>
                <w:bCs/>
                <w:sz w:val="20"/>
              </w:rPr>
              <w:t>REQUISITOS DEL SERVICIO</w:t>
            </w:r>
          </w:p>
        </w:tc>
      </w:tr>
      <w:tr w:rsidR="00FF2D77" w:rsidRPr="00736756" w:rsidTr="004D2D34">
        <w:trPr>
          <w:cantSplit/>
          <w:trHeight w:val="2937"/>
        </w:trPr>
        <w:tc>
          <w:tcPr>
            <w:tcW w:w="5000" w:type="pct"/>
            <w:shd w:val="clear" w:color="auto" w:fill="auto"/>
            <w:vAlign w:val="center"/>
          </w:tcPr>
          <w:p w:rsidR="004901CD" w:rsidRPr="004901CD" w:rsidRDefault="004901CD" w:rsidP="00933B5B">
            <w:pPr>
              <w:ind w:left="-75" w:right="34"/>
              <w:contextualSpacing/>
              <w:jc w:val="right"/>
              <w:rPr>
                <w:rFonts w:ascii="Bookman Old Style" w:hAnsi="Bookman Old Style" w:cs="Arial"/>
                <w:b/>
                <w:sz w:val="4"/>
                <w:szCs w:val="20"/>
              </w:rPr>
            </w:pPr>
          </w:p>
          <w:p w:rsidR="00231DCF" w:rsidRDefault="004901CD" w:rsidP="00933B5B">
            <w:pPr>
              <w:tabs>
                <w:tab w:val="left" w:pos="4430"/>
              </w:tabs>
              <w:ind w:left="-75" w:right="34"/>
              <w:contextualSpacing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noProof/>
                <w:lang w:val="es-BO" w:eastAsia="es-BO"/>
              </w:rPr>
              <w:t xml:space="preserve">      </w:t>
            </w:r>
            <w:r w:rsidR="00E31E88">
              <w:rPr>
                <w:noProof/>
                <w:lang w:val="es-BO" w:eastAsia="es-BO"/>
              </w:rPr>
              <w:drawing>
                <wp:inline distT="0" distB="0" distL="0" distR="0" wp14:anchorId="34E55EBA" wp14:editId="5E6FDDE9">
                  <wp:extent cx="2710180" cy="1558290"/>
                  <wp:effectExtent l="0" t="0" r="0" b="3810"/>
                  <wp:docPr id="376" name="Imagen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Imagen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180" cy="15582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231DCF">
              <w:rPr>
                <w:noProof/>
                <w:lang w:val="es-BO" w:eastAsia="es-BO"/>
              </w:rPr>
              <w:drawing>
                <wp:anchor distT="0" distB="0" distL="114300" distR="114300" simplePos="0" relativeHeight="251663360" behindDoc="0" locked="0" layoutInCell="1" allowOverlap="1" wp14:anchorId="78F7312E" wp14:editId="3E26A1E1">
                  <wp:simplePos x="0" y="0"/>
                  <wp:positionH relativeFrom="column">
                    <wp:posOffset>-2896870</wp:posOffset>
                  </wp:positionH>
                  <wp:positionV relativeFrom="paragraph">
                    <wp:posOffset>-1456690</wp:posOffset>
                  </wp:positionV>
                  <wp:extent cx="2775585" cy="2316480"/>
                  <wp:effectExtent l="0" t="0" r="5715" b="7620"/>
                  <wp:wrapSquare wrapText="bothSides"/>
                  <wp:docPr id="18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585" cy="23164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059C4" w:rsidRPr="005059C4" w:rsidRDefault="003F4DD6" w:rsidP="00382178">
            <w:pPr>
              <w:ind w:left="-108" w:right="34"/>
              <w:contextualSpacing/>
              <w:jc w:val="center"/>
              <w:rPr>
                <w:rFonts w:ascii="Bookman Old Style" w:hAnsi="Bookman Old Style" w:cs="Arial"/>
                <w:b/>
                <w:sz w:val="2"/>
                <w:szCs w:val="20"/>
              </w:rPr>
            </w:pPr>
            <w:bookmarkStart w:id="0" w:name="_GoBack"/>
            <w:r>
              <w:rPr>
                <w:rFonts w:ascii="Bookman Old Style" w:hAnsi="Bookman Old Style" w:cs="Arial"/>
                <w:b/>
                <w:noProof/>
                <w:sz w:val="2"/>
                <w:szCs w:val="20"/>
                <w:lang w:val="es-BO" w:eastAsia="es-BO"/>
              </w:rPr>
              <w:drawing>
                <wp:inline distT="0" distB="0" distL="0" distR="0" wp14:anchorId="6924777B">
                  <wp:extent cx="1695450" cy="703059"/>
                  <wp:effectExtent l="0" t="0" r="0" b="190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249" cy="708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F2D77" w:rsidRPr="00736756" w:rsidTr="00F72332">
        <w:trPr>
          <w:cantSplit/>
          <w:trHeight w:val="2074"/>
        </w:trPr>
        <w:tc>
          <w:tcPr>
            <w:tcW w:w="5000" w:type="pct"/>
            <w:shd w:val="clear" w:color="auto" w:fill="FFFFFF" w:themeFill="background1"/>
            <w:vAlign w:val="center"/>
          </w:tcPr>
          <w:p w:rsidR="00FF2D77" w:rsidRPr="00382178" w:rsidRDefault="00FF2D77" w:rsidP="00FF2D77">
            <w:pPr>
              <w:pStyle w:val="Textoindependiente3"/>
              <w:rPr>
                <w:rFonts w:ascii="Bookman Old Style" w:hAnsi="Bookman Old Style"/>
                <w:sz w:val="2"/>
                <w:szCs w:val="22"/>
              </w:rPr>
            </w:pPr>
          </w:p>
          <w:p w:rsidR="005059C4" w:rsidRPr="005059C4" w:rsidRDefault="005059C4" w:rsidP="00F72332">
            <w:pPr>
              <w:shd w:val="clear" w:color="auto" w:fill="FFFFFF" w:themeFill="background1"/>
              <w:ind w:left="43"/>
              <w:contextualSpacing/>
              <w:jc w:val="both"/>
              <w:rPr>
                <w:rFonts w:ascii="Bookman Old Style" w:hAnsi="Bookman Old Style"/>
                <w:sz w:val="2"/>
              </w:rPr>
            </w:pPr>
          </w:p>
          <w:tbl>
            <w:tblPr>
              <w:tblW w:w="970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72"/>
              <w:gridCol w:w="3019"/>
              <w:gridCol w:w="480"/>
              <w:gridCol w:w="1804"/>
              <w:gridCol w:w="1983"/>
              <w:gridCol w:w="1843"/>
            </w:tblGrid>
            <w:tr w:rsidR="005059C4" w:rsidRPr="005059C4" w:rsidTr="00B912F5">
              <w:trPr>
                <w:cantSplit/>
                <w:trHeight w:val="357"/>
                <w:jc w:val="center"/>
              </w:trPr>
              <w:tc>
                <w:tcPr>
                  <w:tcW w:w="295" w:type="pct"/>
                  <w:shd w:val="clear" w:color="auto" w:fill="auto"/>
                  <w:vAlign w:val="center"/>
                </w:tcPr>
                <w:p w:rsidR="005059C4" w:rsidRPr="00174557" w:rsidRDefault="005059C4" w:rsidP="00F72332">
                  <w:pPr>
                    <w:shd w:val="clear" w:color="auto" w:fill="FFFFFF" w:themeFill="background1"/>
                    <w:ind w:left="-60" w:right="-108"/>
                    <w:contextualSpacing/>
                    <w:jc w:val="center"/>
                    <w:rPr>
                      <w:rFonts w:ascii="Bookman Old Style" w:hAnsi="Bookman Old Style" w:cs="Arial"/>
                      <w:b/>
                      <w:sz w:val="16"/>
                      <w:szCs w:val="16"/>
                    </w:rPr>
                  </w:pPr>
                  <w:r w:rsidRPr="00174557">
                    <w:rPr>
                      <w:rFonts w:ascii="Bookman Old Style" w:hAnsi="Bookman Old Style" w:cs="Arial"/>
                      <w:b/>
                      <w:iCs/>
                      <w:sz w:val="16"/>
                      <w:szCs w:val="16"/>
                    </w:rPr>
                    <w:t>Ítem</w:t>
                  </w:r>
                </w:p>
              </w:tc>
              <w:tc>
                <w:tcPr>
                  <w:tcW w:w="1556" w:type="pct"/>
                  <w:shd w:val="clear" w:color="auto" w:fill="auto"/>
                  <w:vAlign w:val="center"/>
                </w:tcPr>
                <w:p w:rsidR="005059C4" w:rsidRPr="00174557" w:rsidRDefault="005059C4" w:rsidP="00F72332">
                  <w:pPr>
                    <w:shd w:val="clear" w:color="auto" w:fill="FFFFFF" w:themeFill="background1"/>
                    <w:ind w:left="420"/>
                    <w:contextualSpacing/>
                    <w:jc w:val="center"/>
                    <w:rPr>
                      <w:rFonts w:ascii="Bookman Old Style" w:hAnsi="Bookman Old Style" w:cs="Arial"/>
                      <w:b/>
                      <w:sz w:val="16"/>
                      <w:szCs w:val="16"/>
                    </w:rPr>
                  </w:pPr>
                  <w:r w:rsidRPr="00174557">
                    <w:rPr>
                      <w:rFonts w:ascii="Bookman Old Style" w:hAnsi="Bookman Old Style" w:cs="Arial"/>
                      <w:b/>
                      <w:iCs/>
                      <w:sz w:val="16"/>
                      <w:szCs w:val="16"/>
                    </w:rPr>
                    <w:t>Características técnicas</w:t>
                  </w:r>
                </w:p>
              </w:tc>
              <w:tc>
                <w:tcPr>
                  <w:tcW w:w="247" w:type="pct"/>
                  <w:shd w:val="clear" w:color="auto" w:fill="auto"/>
                  <w:vAlign w:val="center"/>
                </w:tcPr>
                <w:p w:rsidR="005059C4" w:rsidRPr="00174557" w:rsidRDefault="005059C4" w:rsidP="00174557">
                  <w:pPr>
                    <w:shd w:val="clear" w:color="auto" w:fill="FFFFFF" w:themeFill="background1"/>
                    <w:ind w:left="-108" w:right="-108"/>
                    <w:contextualSpacing/>
                    <w:jc w:val="center"/>
                    <w:rPr>
                      <w:rFonts w:ascii="Bookman Old Style" w:hAnsi="Bookman Old Style" w:cs="Arial"/>
                      <w:b/>
                      <w:sz w:val="16"/>
                      <w:szCs w:val="16"/>
                    </w:rPr>
                  </w:pPr>
                  <w:proofErr w:type="spellStart"/>
                  <w:r w:rsidRPr="00174557">
                    <w:rPr>
                      <w:rFonts w:ascii="Bookman Old Style" w:hAnsi="Bookman Old Style" w:cs="Arial"/>
                      <w:b/>
                      <w:iCs/>
                      <w:sz w:val="16"/>
                      <w:szCs w:val="16"/>
                    </w:rPr>
                    <w:t>Cant</w:t>
                  </w:r>
                  <w:proofErr w:type="spellEnd"/>
                  <w:r w:rsidRPr="00174557">
                    <w:rPr>
                      <w:rFonts w:ascii="Bookman Old Style" w:hAnsi="Bookman Old Style" w:cs="Arial"/>
                      <w:b/>
                      <w:i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30" w:type="pct"/>
                  <w:shd w:val="clear" w:color="auto" w:fill="auto"/>
                  <w:vAlign w:val="center"/>
                </w:tcPr>
                <w:p w:rsidR="005059C4" w:rsidRPr="00174557" w:rsidRDefault="005059C4" w:rsidP="00F72332">
                  <w:pPr>
                    <w:shd w:val="clear" w:color="auto" w:fill="FFFFFF" w:themeFill="background1"/>
                    <w:ind w:left="-108" w:right="-48"/>
                    <w:contextualSpacing/>
                    <w:jc w:val="center"/>
                    <w:rPr>
                      <w:rFonts w:ascii="Bookman Old Style" w:hAnsi="Bookman Old Style" w:cs="Arial"/>
                      <w:b/>
                      <w:sz w:val="16"/>
                      <w:szCs w:val="16"/>
                    </w:rPr>
                  </w:pPr>
                  <w:r w:rsidRPr="00174557">
                    <w:rPr>
                      <w:rFonts w:ascii="Bookman Old Style" w:hAnsi="Bookman Old Style" w:cs="Arial"/>
                      <w:b/>
                      <w:sz w:val="16"/>
                      <w:szCs w:val="16"/>
                    </w:rPr>
                    <w:t>Unidad de medida</w:t>
                  </w:r>
                </w:p>
              </w:tc>
              <w:tc>
                <w:tcPr>
                  <w:tcW w:w="1022" w:type="pct"/>
                  <w:shd w:val="clear" w:color="auto" w:fill="auto"/>
                  <w:vAlign w:val="center"/>
                </w:tcPr>
                <w:p w:rsidR="005059C4" w:rsidRPr="00174557" w:rsidRDefault="005059C4" w:rsidP="00F72332">
                  <w:pPr>
                    <w:shd w:val="clear" w:color="auto" w:fill="FFFFFF" w:themeFill="background1"/>
                    <w:ind w:left="-108"/>
                    <w:contextualSpacing/>
                    <w:jc w:val="center"/>
                    <w:rPr>
                      <w:rFonts w:ascii="Bookman Old Style" w:hAnsi="Bookman Old Style" w:cs="Arial"/>
                      <w:b/>
                      <w:sz w:val="16"/>
                      <w:szCs w:val="16"/>
                    </w:rPr>
                  </w:pPr>
                  <w:r w:rsidRPr="00174557">
                    <w:rPr>
                      <w:rFonts w:ascii="Bookman Old Style" w:hAnsi="Bookman Old Style" w:cs="Arial"/>
                      <w:b/>
                      <w:iCs/>
                      <w:sz w:val="16"/>
                      <w:szCs w:val="16"/>
                    </w:rPr>
                    <w:t>Precio unitario Referencial en Bs.</w:t>
                  </w:r>
                </w:p>
              </w:tc>
              <w:tc>
                <w:tcPr>
                  <w:tcW w:w="950" w:type="pct"/>
                  <w:shd w:val="clear" w:color="auto" w:fill="auto"/>
                  <w:vAlign w:val="center"/>
                </w:tcPr>
                <w:p w:rsidR="005059C4" w:rsidRPr="005059C4" w:rsidRDefault="005059C4" w:rsidP="00F72332">
                  <w:pPr>
                    <w:shd w:val="clear" w:color="auto" w:fill="FFFFFF" w:themeFill="background1"/>
                    <w:ind w:left="-108" w:right="34"/>
                    <w:contextualSpacing/>
                    <w:jc w:val="center"/>
                    <w:rPr>
                      <w:rFonts w:ascii="Bookman Old Style" w:hAnsi="Bookman Old Style" w:cs="Arial"/>
                      <w:b/>
                      <w:sz w:val="16"/>
                      <w:szCs w:val="16"/>
                    </w:rPr>
                  </w:pPr>
                  <w:r w:rsidRPr="00174557">
                    <w:rPr>
                      <w:rFonts w:ascii="Bookman Old Style" w:hAnsi="Bookman Old Style" w:cs="Arial"/>
                      <w:b/>
                      <w:iCs/>
                      <w:sz w:val="16"/>
                      <w:szCs w:val="16"/>
                    </w:rPr>
                    <w:t>Precio Total Referencial en Bs.</w:t>
                  </w:r>
                </w:p>
              </w:tc>
            </w:tr>
            <w:tr w:rsidR="005059C4" w:rsidRPr="005059C4" w:rsidTr="00B912F5">
              <w:trPr>
                <w:cantSplit/>
                <w:trHeight w:val="323"/>
                <w:jc w:val="center"/>
              </w:trPr>
              <w:tc>
                <w:tcPr>
                  <w:tcW w:w="295" w:type="pct"/>
                  <w:shd w:val="clear" w:color="auto" w:fill="auto"/>
                  <w:vAlign w:val="center"/>
                </w:tcPr>
                <w:p w:rsidR="005059C4" w:rsidRPr="005059C4" w:rsidRDefault="005059C4" w:rsidP="00F72332">
                  <w:pPr>
                    <w:pStyle w:val="Textoindependiente3"/>
                    <w:shd w:val="clear" w:color="auto" w:fill="FFFFFF" w:themeFill="background1"/>
                    <w:jc w:val="center"/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</w:pPr>
                  <w:r w:rsidRPr="005059C4"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6" w:type="pct"/>
                  <w:shd w:val="clear" w:color="auto" w:fill="auto"/>
                  <w:vAlign w:val="center"/>
                </w:tcPr>
                <w:p w:rsidR="005059C4" w:rsidRPr="005059C4" w:rsidRDefault="005059C4" w:rsidP="00F72332">
                  <w:pPr>
                    <w:pStyle w:val="Textoindependiente3"/>
                    <w:shd w:val="clear" w:color="auto" w:fill="FFFFFF" w:themeFill="background1"/>
                    <w:jc w:val="left"/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</w:pPr>
                  <w:r w:rsidRPr="005059C4"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>Pasajes Nacionales</w:t>
                  </w:r>
                </w:p>
              </w:tc>
              <w:tc>
                <w:tcPr>
                  <w:tcW w:w="247" w:type="pct"/>
                  <w:shd w:val="clear" w:color="auto" w:fill="auto"/>
                  <w:vAlign w:val="center"/>
                </w:tcPr>
                <w:p w:rsidR="005059C4" w:rsidRPr="005059C4" w:rsidRDefault="005059C4" w:rsidP="00F72332">
                  <w:pPr>
                    <w:pStyle w:val="Textoindependiente3"/>
                    <w:shd w:val="clear" w:color="auto" w:fill="FFFFFF" w:themeFill="background1"/>
                    <w:jc w:val="center"/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</w:pPr>
                  <w:r w:rsidRPr="005059C4"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30" w:type="pct"/>
                  <w:shd w:val="clear" w:color="auto" w:fill="auto"/>
                  <w:vAlign w:val="center"/>
                </w:tcPr>
                <w:p w:rsidR="005059C4" w:rsidRPr="005059C4" w:rsidRDefault="005059C4" w:rsidP="00F72332">
                  <w:pPr>
                    <w:pStyle w:val="Textoindependiente3"/>
                    <w:shd w:val="clear" w:color="auto" w:fill="FFFFFF" w:themeFill="background1"/>
                    <w:jc w:val="center"/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</w:pPr>
                  <w:r w:rsidRPr="005059C4"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>Servicio</w:t>
                  </w:r>
                </w:p>
              </w:tc>
              <w:tc>
                <w:tcPr>
                  <w:tcW w:w="1022" w:type="pct"/>
                  <w:shd w:val="clear" w:color="auto" w:fill="auto"/>
                  <w:vAlign w:val="center"/>
                </w:tcPr>
                <w:p w:rsidR="005059C4" w:rsidRPr="005059C4" w:rsidRDefault="00F72332" w:rsidP="00F72332">
                  <w:pPr>
                    <w:pStyle w:val="Textoindependiente3"/>
                    <w:shd w:val="clear" w:color="auto" w:fill="FFFFFF" w:themeFill="background1"/>
                    <w:jc w:val="center"/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>265.059,00</w:t>
                  </w:r>
                </w:p>
              </w:tc>
              <w:tc>
                <w:tcPr>
                  <w:tcW w:w="950" w:type="pct"/>
                  <w:shd w:val="clear" w:color="auto" w:fill="auto"/>
                  <w:vAlign w:val="center"/>
                </w:tcPr>
                <w:p w:rsidR="005059C4" w:rsidRPr="005059C4" w:rsidRDefault="00F72332" w:rsidP="00F72332">
                  <w:pPr>
                    <w:pStyle w:val="Textoindependiente3"/>
                    <w:shd w:val="clear" w:color="auto" w:fill="FFFFFF" w:themeFill="background1"/>
                    <w:jc w:val="right"/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>265.059,00</w:t>
                  </w:r>
                </w:p>
              </w:tc>
            </w:tr>
            <w:tr w:rsidR="005059C4" w:rsidRPr="005059C4" w:rsidTr="00B912F5">
              <w:trPr>
                <w:cantSplit/>
                <w:trHeight w:val="274"/>
                <w:jc w:val="center"/>
              </w:trPr>
              <w:tc>
                <w:tcPr>
                  <w:tcW w:w="295" w:type="pct"/>
                  <w:shd w:val="clear" w:color="auto" w:fill="auto"/>
                  <w:vAlign w:val="center"/>
                </w:tcPr>
                <w:p w:rsidR="005059C4" w:rsidRPr="005059C4" w:rsidRDefault="005059C4" w:rsidP="00F72332">
                  <w:pPr>
                    <w:pStyle w:val="Textoindependiente3"/>
                    <w:shd w:val="clear" w:color="auto" w:fill="FFFFFF" w:themeFill="background1"/>
                    <w:jc w:val="center"/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</w:pPr>
                  <w:r w:rsidRPr="005059C4"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56" w:type="pct"/>
                  <w:shd w:val="clear" w:color="auto" w:fill="auto"/>
                  <w:vAlign w:val="center"/>
                </w:tcPr>
                <w:p w:rsidR="005059C4" w:rsidRPr="005059C4" w:rsidRDefault="005059C4" w:rsidP="00F72332">
                  <w:pPr>
                    <w:pStyle w:val="Textoindependiente3"/>
                    <w:shd w:val="clear" w:color="auto" w:fill="FFFFFF" w:themeFill="background1"/>
                    <w:jc w:val="left"/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</w:pPr>
                  <w:r w:rsidRPr="005059C4"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>Pasajes Internacionales</w:t>
                  </w:r>
                </w:p>
              </w:tc>
              <w:tc>
                <w:tcPr>
                  <w:tcW w:w="247" w:type="pct"/>
                  <w:shd w:val="clear" w:color="auto" w:fill="auto"/>
                  <w:vAlign w:val="center"/>
                </w:tcPr>
                <w:p w:rsidR="005059C4" w:rsidRPr="005059C4" w:rsidRDefault="005059C4" w:rsidP="00F72332">
                  <w:pPr>
                    <w:pStyle w:val="Textoindependiente3"/>
                    <w:shd w:val="clear" w:color="auto" w:fill="FFFFFF" w:themeFill="background1"/>
                    <w:jc w:val="center"/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</w:pPr>
                  <w:r w:rsidRPr="005059C4"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30" w:type="pct"/>
                  <w:shd w:val="clear" w:color="auto" w:fill="auto"/>
                  <w:vAlign w:val="center"/>
                </w:tcPr>
                <w:p w:rsidR="005059C4" w:rsidRPr="005059C4" w:rsidRDefault="005059C4" w:rsidP="00F72332">
                  <w:pPr>
                    <w:pStyle w:val="Textoindependiente3"/>
                    <w:shd w:val="clear" w:color="auto" w:fill="FFFFFF" w:themeFill="background1"/>
                    <w:jc w:val="center"/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</w:pPr>
                  <w:r w:rsidRPr="005059C4"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>Servicio</w:t>
                  </w:r>
                </w:p>
              </w:tc>
              <w:tc>
                <w:tcPr>
                  <w:tcW w:w="1022" w:type="pct"/>
                  <w:shd w:val="clear" w:color="auto" w:fill="auto"/>
                  <w:vAlign w:val="center"/>
                </w:tcPr>
                <w:p w:rsidR="005059C4" w:rsidRPr="005059C4" w:rsidRDefault="00F72332" w:rsidP="00F72332">
                  <w:pPr>
                    <w:pStyle w:val="Textoindependiente3"/>
                    <w:shd w:val="clear" w:color="auto" w:fill="FFFFFF" w:themeFill="background1"/>
                    <w:jc w:val="center"/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>170</w:t>
                  </w:r>
                  <w:r w:rsidR="005059C4" w:rsidRPr="005059C4"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>.000,00</w:t>
                  </w:r>
                </w:p>
              </w:tc>
              <w:tc>
                <w:tcPr>
                  <w:tcW w:w="950" w:type="pct"/>
                  <w:shd w:val="clear" w:color="auto" w:fill="auto"/>
                  <w:vAlign w:val="center"/>
                </w:tcPr>
                <w:p w:rsidR="005059C4" w:rsidRPr="005059C4" w:rsidRDefault="005059C4" w:rsidP="00F72332">
                  <w:pPr>
                    <w:pStyle w:val="Textoindependiente3"/>
                    <w:shd w:val="clear" w:color="auto" w:fill="FFFFFF" w:themeFill="background1"/>
                    <w:jc w:val="right"/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</w:pPr>
                  <w:r w:rsidRPr="005059C4"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>1</w:t>
                  </w:r>
                  <w:r w:rsidR="00F72332"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>70</w:t>
                  </w:r>
                  <w:r w:rsidRPr="005059C4"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>.000,00</w:t>
                  </w:r>
                </w:p>
              </w:tc>
            </w:tr>
            <w:tr w:rsidR="005059C4" w:rsidRPr="005059C4" w:rsidTr="00B912F5">
              <w:trPr>
                <w:cantSplit/>
                <w:trHeight w:val="289"/>
                <w:jc w:val="center"/>
              </w:trPr>
              <w:tc>
                <w:tcPr>
                  <w:tcW w:w="295" w:type="pct"/>
                  <w:shd w:val="clear" w:color="auto" w:fill="auto"/>
                  <w:vAlign w:val="center"/>
                </w:tcPr>
                <w:p w:rsidR="005059C4" w:rsidRPr="005059C4" w:rsidRDefault="005059C4" w:rsidP="00F72332">
                  <w:pPr>
                    <w:pStyle w:val="Textoindependiente3"/>
                    <w:shd w:val="clear" w:color="auto" w:fill="FFFFFF" w:themeFill="background1"/>
                    <w:jc w:val="center"/>
                    <w:rPr>
                      <w:rFonts w:ascii="Bookman Old Style" w:hAnsi="Bookman Old Style"/>
                      <w:b/>
                      <w:iCs/>
                      <w:sz w:val="16"/>
                      <w:szCs w:val="16"/>
                    </w:rPr>
                  </w:pPr>
                  <w:r w:rsidRPr="005059C4"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56" w:type="pct"/>
                  <w:shd w:val="clear" w:color="auto" w:fill="auto"/>
                  <w:vAlign w:val="center"/>
                </w:tcPr>
                <w:p w:rsidR="005059C4" w:rsidRPr="005059C4" w:rsidRDefault="005059C4" w:rsidP="00F72332">
                  <w:pPr>
                    <w:pStyle w:val="Textoindependiente3"/>
                    <w:shd w:val="clear" w:color="auto" w:fill="FFFFFF" w:themeFill="background1"/>
                    <w:jc w:val="left"/>
                    <w:rPr>
                      <w:rFonts w:ascii="Bookman Old Style" w:hAnsi="Bookman Old Style"/>
                      <w:b/>
                      <w:iCs/>
                      <w:sz w:val="16"/>
                      <w:szCs w:val="16"/>
                    </w:rPr>
                  </w:pPr>
                  <w:r w:rsidRPr="005059C4"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>Seguros Internacionales de Viaje</w:t>
                  </w:r>
                </w:p>
              </w:tc>
              <w:tc>
                <w:tcPr>
                  <w:tcW w:w="247" w:type="pct"/>
                  <w:shd w:val="clear" w:color="auto" w:fill="auto"/>
                  <w:vAlign w:val="center"/>
                </w:tcPr>
                <w:p w:rsidR="005059C4" w:rsidRPr="005059C4" w:rsidRDefault="005059C4" w:rsidP="00F72332">
                  <w:pPr>
                    <w:pStyle w:val="Textoindependiente3"/>
                    <w:shd w:val="clear" w:color="auto" w:fill="FFFFFF" w:themeFill="background1"/>
                    <w:jc w:val="center"/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</w:pPr>
                  <w:r w:rsidRPr="005059C4"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30" w:type="pct"/>
                  <w:shd w:val="clear" w:color="auto" w:fill="auto"/>
                  <w:vAlign w:val="center"/>
                </w:tcPr>
                <w:p w:rsidR="005059C4" w:rsidRPr="005059C4" w:rsidRDefault="005059C4" w:rsidP="00F72332">
                  <w:pPr>
                    <w:pStyle w:val="Textoindependiente3"/>
                    <w:shd w:val="clear" w:color="auto" w:fill="FFFFFF" w:themeFill="background1"/>
                    <w:jc w:val="center"/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</w:pPr>
                  <w:r w:rsidRPr="005059C4"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>Servicio</w:t>
                  </w:r>
                </w:p>
              </w:tc>
              <w:tc>
                <w:tcPr>
                  <w:tcW w:w="1022" w:type="pct"/>
                  <w:shd w:val="clear" w:color="auto" w:fill="auto"/>
                  <w:vAlign w:val="center"/>
                </w:tcPr>
                <w:p w:rsidR="005059C4" w:rsidRPr="005059C4" w:rsidRDefault="00F72332" w:rsidP="00F72332">
                  <w:pPr>
                    <w:pStyle w:val="Textoindependiente3"/>
                    <w:shd w:val="clear" w:color="auto" w:fill="FFFFFF" w:themeFill="background1"/>
                    <w:jc w:val="center"/>
                    <w:rPr>
                      <w:rFonts w:ascii="Bookman Old Style" w:hAnsi="Bookman Old Style"/>
                      <w:iCs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>10</w:t>
                  </w:r>
                  <w:r w:rsidR="005059C4" w:rsidRPr="005059C4"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>.</w:t>
                  </w:r>
                  <w:r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>0</w:t>
                  </w:r>
                  <w:r w:rsidR="005059C4" w:rsidRPr="005059C4"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>00,00</w:t>
                  </w:r>
                </w:p>
              </w:tc>
              <w:tc>
                <w:tcPr>
                  <w:tcW w:w="950" w:type="pct"/>
                  <w:shd w:val="clear" w:color="auto" w:fill="auto"/>
                  <w:vAlign w:val="center"/>
                </w:tcPr>
                <w:p w:rsidR="005059C4" w:rsidRPr="005059C4" w:rsidRDefault="00F72332" w:rsidP="00F72332">
                  <w:pPr>
                    <w:pStyle w:val="Textoindependiente3"/>
                    <w:shd w:val="clear" w:color="auto" w:fill="FFFFFF" w:themeFill="background1"/>
                    <w:jc w:val="right"/>
                    <w:rPr>
                      <w:rFonts w:ascii="Bookman Old Style" w:hAnsi="Bookman Old Style"/>
                      <w:b/>
                      <w:color w:val="FF0000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>10</w:t>
                  </w:r>
                  <w:r w:rsidR="005059C4" w:rsidRPr="005059C4"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>.</w:t>
                  </w:r>
                  <w:r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>0</w:t>
                  </w:r>
                  <w:r w:rsidR="005059C4" w:rsidRPr="005059C4"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>00,00</w:t>
                  </w:r>
                </w:p>
              </w:tc>
            </w:tr>
            <w:tr w:rsidR="005059C4" w:rsidRPr="007232A8" w:rsidTr="00B912F5">
              <w:trPr>
                <w:cantSplit/>
                <w:trHeight w:val="323"/>
                <w:jc w:val="center"/>
              </w:trPr>
              <w:tc>
                <w:tcPr>
                  <w:tcW w:w="4050" w:type="pct"/>
                  <w:gridSpan w:val="5"/>
                  <w:shd w:val="clear" w:color="auto" w:fill="auto"/>
                  <w:vAlign w:val="center"/>
                </w:tcPr>
                <w:p w:rsidR="005059C4" w:rsidRPr="00F72332" w:rsidRDefault="005059C4" w:rsidP="00F72332">
                  <w:pPr>
                    <w:shd w:val="clear" w:color="auto" w:fill="FFFFFF" w:themeFill="background1"/>
                    <w:ind w:right="-134"/>
                    <w:contextualSpacing/>
                    <w:rPr>
                      <w:rFonts w:ascii="Bookman Old Style" w:hAnsi="Bookman Old Style" w:cs="Arial"/>
                      <w:b/>
                      <w:iCs/>
                      <w:sz w:val="15"/>
                      <w:szCs w:val="15"/>
                    </w:rPr>
                  </w:pPr>
                  <w:r w:rsidRPr="00F72332">
                    <w:rPr>
                      <w:rFonts w:ascii="Bookman Old Style" w:hAnsi="Bookman Old Style" w:cs="Arial"/>
                      <w:b/>
                      <w:iCs/>
                      <w:sz w:val="15"/>
                      <w:szCs w:val="15"/>
                    </w:rPr>
                    <w:t>Son:</w:t>
                  </w:r>
                  <w:r w:rsidRPr="00F72332">
                    <w:rPr>
                      <w:rFonts w:ascii="Bookman Old Style" w:hAnsi="Bookman Old Style" w:cs="Arial"/>
                      <w:sz w:val="15"/>
                      <w:szCs w:val="15"/>
                    </w:rPr>
                    <w:t xml:space="preserve"> </w:t>
                  </w:r>
                  <w:r w:rsidR="00F72332" w:rsidRPr="00F72332">
                    <w:rPr>
                      <w:rFonts w:ascii="Bookman Old Style" w:hAnsi="Bookman Old Style" w:cs="Arial"/>
                      <w:b/>
                      <w:iCs/>
                      <w:sz w:val="15"/>
                      <w:szCs w:val="15"/>
                    </w:rPr>
                    <w:t xml:space="preserve">CUATROSCIENTOS CUARENTA Y CINCO MIL CINCUENTA Y NUEVE </w:t>
                  </w:r>
                  <w:r w:rsidRPr="00F72332">
                    <w:rPr>
                      <w:rFonts w:ascii="Bookman Old Style" w:hAnsi="Bookman Old Style" w:cs="Arial"/>
                      <w:b/>
                      <w:iCs/>
                      <w:sz w:val="15"/>
                      <w:szCs w:val="15"/>
                    </w:rPr>
                    <w:t>00/100 BOLIVIANOS</w:t>
                  </w:r>
                </w:p>
              </w:tc>
              <w:tc>
                <w:tcPr>
                  <w:tcW w:w="950" w:type="pct"/>
                  <w:shd w:val="clear" w:color="auto" w:fill="auto"/>
                  <w:vAlign w:val="center"/>
                </w:tcPr>
                <w:p w:rsidR="005059C4" w:rsidRPr="005059C4" w:rsidRDefault="00F72332" w:rsidP="00F72332">
                  <w:pPr>
                    <w:shd w:val="clear" w:color="auto" w:fill="FFFFFF" w:themeFill="background1"/>
                    <w:ind w:left="43" w:right="-131"/>
                    <w:contextualSpacing/>
                    <w:jc w:val="center"/>
                    <w:rPr>
                      <w:rFonts w:ascii="Bookman Old Style" w:hAnsi="Bookman Old Style" w:cs="Arial"/>
                      <w:b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 w:cs="Arial"/>
                      <w:b/>
                      <w:sz w:val="16"/>
                      <w:szCs w:val="16"/>
                    </w:rPr>
                    <w:t xml:space="preserve">       445.059,00</w:t>
                  </w:r>
                </w:p>
              </w:tc>
            </w:tr>
          </w:tbl>
          <w:p w:rsidR="00F72332" w:rsidRPr="005059C4" w:rsidRDefault="00FF2D77" w:rsidP="00F72332">
            <w:pPr>
              <w:shd w:val="clear" w:color="auto" w:fill="FFFFFF" w:themeFill="background1"/>
              <w:ind w:left="43"/>
              <w:contextualSpacing/>
              <w:jc w:val="both"/>
              <w:rPr>
                <w:rFonts w:ascii="Bookman Old Style" w:hAnsi="Bookman Old Style"/>
                <w:b/>
                <w:sz w:val="20"/>
              </w:rPr>
            </w:pPr>
            <w:r w:rsidRPr="00A90959">
              <w:rPr>
                <w:rFonts w:ascii="Bookman Old Style" w:hAnsi="Bookman Old Style"/>
                <w:sz w:val="20"/>
              </w:rPr>
              <w:t xml:space="preserve">El servicio se ejecutará conforme a requerimientos de las Unidades </w:t>
            </w:r>
            <w:r w:rsidR="00E44BEB">
              <w:rPr>
                <w:rFonts w:ascii="Bookman Old Style" w:hAnsi="Bookman Old Style"/>
                <w:sz w:val="20"/>
              </w:rPr>
              <w:t>S</w:t>
            </w:r>
            <w:r w:rsidRPr="00A90959">
              <w:rPr>
                <w:rFonts w:ascii="Bookman Old Style" w:hAnsi="Bookman Old Style"/>
                <w:sz w:val="20"/>
              </w:rPr>
              <w:t xml:space="preserve">olicitantes, la misma no podrá sobrepasar el límite presupuestario de </w:t>
            </w:r>
            <w:r w:rsidRPr="00A90959">
              <w:rPr>
                <w:rFonts w:ascii="Bookman Old Style" w:hAnsi="Bookman Old Style"/>
                <w:b/>
                <w:sz w:val="20"/>
              </w:rPr>
              <w:t>Bs</w:t>
            </w:r>
            <w:r w:rsidR="001F15F3">
              <w:rPr>
                <w:rFonts w:ascii="Bookman Old Style" w:hAnsi="Bookman Old Style"/>
                <w:b/>
                <w:sz w:val="20"/>
              </w:rPr>
              <w:t>445.059</w:t>
            </w:r>
            <w:proofErr w:type="gramStart"/>
            <w:r w:rsidR="001F15F3">
              <w:rPr>
                <w:rFonts w:ascii="Bookman Old Style" w:hAnsi="Bookman Old Style"/>
                <w:b/>
                <w:sz w:val="20"/>
              </w:rPr>
              <w:t>,00</w:t>
            </w:r>
            <w:proofErr w:type="gramEnd"/>
            <w:r w:rsidR="005059C4">
              <w:rPr>
                <w:rFonts w:ascii="Bookman Old Style" w:hAnsi="Bookman Old Style"/>
                <w:b/>
                <w:sz w:val="20"/>
              </w:rPr>
              <w:t>.</w:t>
            </w:r>
          </w:p>
        </w:tc>
      </w:tr>
      <w:tr w:rsidR="00617109" w:rsidRPr="00736756" w:rsidTr="00156818">
        <w:trPr>
          <w:cantSplit/>
          <w:trHeight w:val="32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4C6E7"/>
            <w:vAlign w:val="center"/>
          </w:tcPr>
          <w:p w:rsidR="00EB6F15" w:rsidRPr="00FF2D77" w:rsidRDefault="00617109" w:rsidP="002B10E1">
            <w:pPr>
              <w:pStyle w:val="Textoindependiente3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0"/>
              </w:rPr>
            </w:pPr>
            <w:r w:rsidRPr="007232A8">
              <w:rPr>
                <w:rFonts w:ascii="Bookman Old Style" w:hAnsi="Bookman Old Style"/>
                <w:b/>
                <w:bCs/>
                <w:sz w:val="20"/>
              </w:rPr>
              <w:lastRenderedPageBreak/>
              <w:t>CONDICIONES COMPLEMENTARIAS</w:t>
            </w:r>
          </w:p>
        </w:tc>
      </w:tr>
      <w:tr w:rsidR="00617109" w:rsidRPr="00736756" w:rsidTr="00B912F5">
        <w:trPr>
          <w:cantSplit/>
          <w:trHeight w:val="1166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617109" w:rsidRPr="007232A8" w:rsidRDefault="00617109" w:rsidP="00B912F5">
            <w:pPr>
              <w:numPr>
                <w:ilvl w:val="0"/>
                <w:numId w:val="16"/>
              </w:numPr>
              <w:spacing w:before="120"/>
              <w:jc w:val="both"/>
              <w:rPr>
                <w:rFonts w:ascii="Bookman Old Style" w:hAnsi="Bookman Old Style" w:cs="Arial"/>
                <w:sz w:val="20"/>
                <w:szCs w:val="20"/>
                <w:lang w:val="es-ES_tradnl"/>
              </w:rPr>
            </w:pPr>
            <w:r w:rsidRPr="007232A8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Reserva y Emisión de pasajes aéreos nacionales e internacionales</w:t>
            </w:r>
          </w:p>
          <w:p w:rsidR="00617109" w:rsidRPr="007232A8" w:rsidRDefault="00B55B52" w:rsidP="00EB6F15">
            <w:pPr>
              <w:ind w:left="351"/>
              <w:jc w:val="both"/>
              <w:rPr>
                <w:rFonts w:ascii="Bookman Old Style" w:hAnsi="Bookman Old Style" w:cs="Arial"/>
                <w:sz w:val="20"/>
                <w:szCs w:val="20"/>
                <w:lang w:val="es-ES_tradnl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La empresa </w:t>
            </w:r>
            <w:r w:rsidR="00617109" w:rsidRPr="007232A8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a solo requerimiento escrito (vía correo electrónico), o vía telefónica (por emergencia) por parte de las personas autorizadas en el Tribunal Supremo Electoral, deberá efectuar las reservas y/o emisiones directas de pasajes aéreos nacionales e internacionales en cualquiera de las </w:t>
            </w:r>
            <w:r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rutas o tramos que se requieran, </w:t>
            </w:r>
            <w:r w:rsidR="00617109" w:rsidRPr="007232A8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para el efecto las mismas serán: Secretarias de Vocalías, Responsable de </w:t>
            </w:r>
            <w:r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la Unidad de </w:t>
            </w:r>
            <w:r w:rsidR="00617109" w:rsidRPr="007232A8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Protocolo y </w:t>
            </w:r>
            <w:r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p</w:t>
            </w:r>
            <w:r w:rsidR="00617109" w:rsidRPr="007232A8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ersonal designado en la Dirección Nacion</w:t>
            </w:r>
            <w:r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al Económica Financiera.</w:t>
            </w:r>
          </w:p>
          <w:p w:rsidR="00617109" w:rsidRPr="00DE2065" w:rsidRDefault="00617109" w:rsidP="00617109">
            <w:pPr>
              <w:ind w:left="426"/>
              <w:jc w:val="both"/>
              <w:rPr>
                <w:rFonts w:ascii="Bookman Old Style" w:hAnsi="Bookman Old Style" w:cs="Arial"/>
                <w:sz w:val="8"/>
                <w:szCs w:val="20"/>
                <w:lang w:val="es-ES_tradnl"/>
              </w:rPr>
            </w:pPr>
            <w:r w:rsidRPr="007232A8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 </w:t>
            </w:r>
          </w:p>
          <w:p w:rsidR="00617109" w:rsidRPr="007232A8" w:rsidRDefault="00617109" w:rsidP="00EB6F15">
            <w:pPr>
              <w:ind w:left="351"/>
              <w:jc w:val="both"/>
              <w:rPr>
                <w:rFonts w:ascii="Bookman Old Style" w:hAnsi="Bookman Old Style" w:cs="Arial"/>
                <w:sz w:val="20"/>
                <w:szCs w:val="20"/>
                <w:lang w:val="es-ES_tradnl"/>
              </w:rPr>
            </w:pPr>
            <w:r w:rsidRPr="007232A8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Estas reservas están sujetas a confirmación de la entidad antes de la emisión del pasaje aéreo, debiendo </w:t>
            </w:r>
            <w:r w:rsidR="00B55B52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La empresa</w:t>
            </w:r>
            <w:r w:rsidRPr="007232A8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 asegurar la disponibilidad de espacios para el personal del Tribunal Supremo Electoral en el tramo requerido.</w:t>
            </w:r>
          </w:p>
          <w:p w:rsidR="00617109" w:rsidRPr="00EB6F15" w:rsidRDefault="00617109" w:rsidP="00617109">
            <w:pPr>
              <w:tabs>
                <w:tab w:val="num" w:pos="142"/>
              </w:tabs>
              <w:ind w:left="360"/>
              <w:jc w:val="both"/>
              <w:rPr>
                <w:rFonts w:ascii="Bookman Old Style" w:hAnsi="Bookman Old Style" w:cs="Arial"/>
                <w:sz w:val="14"/>
                <w:szCs w:val="20"/>
                <w:lang w:val="es-ES_tradnl"/>
              </w:rPr>
            </w:pPr>
          </w:p>
          <w:p w:rsidR="00617109" w:rsidRDefault="00B55B52" w:rsidP="00617109">
            <w:pPr>
              <w:pStyle w:val="Prrafodelista"/>
              <w:ind w:left="351" w:right="8"/>
              <w:contextualSpacing/>
              <w:jc w:val="both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lang w:val="es-ES_tradnl"/>
              </w:rPr>
              <w:t>La empresa</w:t>
            </w:r>
            <w:r w:rsidR="00617109" w:rsidRPr="007232A8">
              <w:rPr>
                <w:rFonts w:ascii="Bookman Old Style" w:hAnsi="Bookman Old Style" w:cs="Arial"/>
                <w:lang w:val="es-ES_tradnl"/>
              </w:rPr>
              <w:t xml:space="preserve"> deberá garantizar el envío de los boletos o pasajes solicitados y confirmados (sean nacionales o internacionales) al correo electrónico del funcionario responsable de la emisión del TSE, en forma oportuna a través del personal designado por la misma </w:t>
            </w:r>
            <w:r w:rsidR="00C95D90">
              <w:rPr>
                <w:rFonts w:ascii="Bookman Old Style" w:hAnsi="Bookman Old Style" w:cs="Arial"/>
                <w:lang w:val="es-ES_tradnl"/>
              </w:rPr>
              <w:t>em</w:t>
            </w:r>
            <w:r>
              <w:rPr>
                <w:rFonts w:ascii="Bookman Old Style" w:hAnsi="Bookman Old Style" w:cs="Arial"/>
                <w:lang w:val="es-ES_tradnl"/>
              </w:rPr>
              <w:t>pre</w:t>
            </w:r>
            <w:r w:rsidR="00C95D90">
              <w:rPr>
                <w:rFonts w:ascii="Bookman Old Style" w:hAnsi="Bookman Old Style" w:cs="Arial"/>
                <w:lang w:val="es-ES_tradnl"/>
              </w:rPr>
              <w:t>sa.</w:t>
            </w:r>
          </w:p>
          <w:p w:rsidR="00617109" w:rsidRPr="00C95D90" w:rsidRDefault="00617109" w:rsidP="00B912F5">
            <w:pPr>
              <w:numPr>
                <w:ilvl w:val="0"/>
                <w:numId w:val="16"/>
              </w:numPr>
              <w:spacing w:before="120"/>
              <w:jc w:val="both"/>
              <w:rPr>
                <w:rFonts w:ascii="Bookman Old Style" w:hAnsi="Bookman Old Style" w:cs="Arial"/>
                <w:sz w:val="20"/>
                <w:szCs w:val="20"/>
                <w:lang w:val="es-ES_tradnl"/>
              </w:rPr>
            </w:pPr>
            <w:r w:rsidRPr="007232A8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Reserva y Emi</w:t>
            </w:r>
            <w:r w:rsidRPr="00C95D90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sión de </w:t>
            </w:r>
            <w:r w:rsidR="00B55B52" w:rsidRPr="00C95D90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seguros </w:t>
            </w:r>
            <w:r w:rsidRPr="00C95D90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de viaje</w:t>
            </w:r>
          </w:p>
          <w:p w:rsidR="00617109" w:rsidRPr="007232A8" w:rsidRDefault="00B55B52" w:rsidP="00EB6F15">
            <w:pPr>
              <w:ind w:left="351"/>
              <w:jc w:val="both"/>
              <w:rPr>
                <w:rFonts w:ascii="Bookman Old Style" w:hAnsi="Bookman Old Style" w:cs="Arial"/>
                <w:sz w:val="20"/>
                <w:szCs w:val="20"/>
                <w:lang w:val="es-ES_tradnl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La empresa</w:t>
            </w:r>
            <w:r w:rsidR="00617109" w:rsidRPr="007232A8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 a solo requerimiento escrito (vía correo electrónico), o vía telefónica (por emergencia) por parte de las personas autorizadas en el Tribunal Supremo Electoral, deberá efectuar las reservas y/o emisiones directas de seguros internacionales de viaje en las rutas y tiempo de validez que se requiera.</w:t>
            </w:r>
          </w:p>
          <w:p w:rsidR="00617109" w:rsidRPr="009019DB" w:rsidRDefault="00617109" w:rsidP="00617109">
            <w:pPr>
              <w:ind w:left="360"/>
              <w:jc w:val="both"/>
              <w:rPr>
                <w:rFonts w:ascii="Bookman Old Style" w:hAnsi="Bookman Old Style" w:cs="Arial"/>
                <w:sz w:val="16"/>
                <w:szCs w:val="20"/>
                <w:lang w:val="es-ES_tradnl"/>
              </w:rPr>
            </w:pPr>
          </w:p>
          <w:p w:rsidR="00617109" w:rsidRPr="007232A8" w:rsidRDefault="00617109" w:rsidP="00B912F5">
            <w:pPr>
              <w:numPr>
                <w:ilvl w:val="0"/>
                <w:numId w:val="16"/>
              </w:numPr>
              <w:jc w:val="both"/>
              <w:rPr>
                <w:rFonts w:ascii="Bookman Old Style" w:hAnsi="Bookman Old Style" w:cs="Arial"/>
                <w:sz w:val="20"/>
                <w:szCs w:val="20"/>
                <w:lang w:val="es-ES_tradnl"/>
              </w:rPr>
            </w:pPr>
            <w:r w:rsidRPr="007232A8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Servicios de anulación, cambios, reembolsos y/o devoluciones de pasajes aéreos.</w:t>
            </w:r>
          </w:p>
          <w:p w:rsidR="00617109" w:rsidRDefault="00B55B52" w:rsidP="00B55B52">
            <w:pPr>
              <w:ind w:left="360"/>
              <w:jc w:val="both"/>
              <w:rPr>
                <w:rFonts w:ascii="Bookman Old Style" w:hAnsi="Bookman Old Style" w:cs="Arial"/>
                <w:sz w:val="20"/>
                <w:szCs w:val="20"/>
                <w:lang w:val="es-ES_tradnl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La empresa</w:t>
            </w:r>
            <w:r w:rsidR="00617109" w:rsidRPr="007232A8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 deberá viabilizar y hacer seguimiento a las anulaciones, cambios de fecha, reembolsos y/o devoluciones de pasajes aéreos no utilizados, lo cual no podrá generar ningún costo y/o incremento, según normativa vigente aplicable. Cuando un pasaje aéreo no sea utilizado por factores atribuibles a la agencia, los costos que por esto emerjan serán cubiertos por </w:t>
            </w:r>
            <w:r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la empresa</w:t>
            </w:r>
            <w:r w:rsidR="00617109" w:rsidRPr="007232A8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, de acuerdo al caso.</w:t>
            </w:r>
          </w:p>
          <w:p w:rsidR="00FF2D77" w:rsidRPr="00FF2D77" w:rsidRDefault="00FF2D77" w:rsidP="00B912F5">
            <w:pPr>
              <w:ind w:left="360"/>
              <w:jc w:val="both"/>
              <w:rPr>
                <w:rFonts w:ascii="Bookman Old Style" w:hAnsi="Bookman Old Style" w:cs="Arial"/>
                <w:sz w:val="12"/>
                <w:szCs w:val="20"/>
                <w:lang w:val="es-ES_tradnl"/>
              </w:rPr>
            </w:pPr>
          </w:p>
          <w:p w:rsidR="00FF2D77" w:rsidRPr="007232A8" w:rsidRDefault="00FF2D77" w:rsidP="00B912F5">
            <w:pPr>
              <w:numPr>
                <w:ilvl w:val="0"/>
                <w:numId w:val="16"/>
              </w:numPr>
              <w:jc w:val="both"/>
              <w:rPr>
                <w:rFonts w:ascii="Bookman Old Style" w:hAnsi="Bookman Old Style" w:cs="Arial"/>
                <w:sz w:val="20"/>
                <w:szCs w:val="20"/>
                <w:lang w:val="es-ES_tradnl"/>
              </w:rPr>
            </w:pPr>
            <w:r w:rsidRPr="007232A8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Aplicación de tarifas </w:t>
            </w:r>
            <w:r w:rsidR="00286288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económicas </w:t>
            </w:r>
            <w:r w:rsidRPr="007232A8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y rutas directas.</w:t>
            </w:r>
          </w:p>
          <w:p w:rsidR="00FF2D77" w:rsidRPr="009019DB" w:rsidRDefault="00FF2D77" w:rsidP="00FF2D77">
            <w:pPr>
              <w:pStyle w:val="Prrafodelista"/>
              <w:spacing w:after="200" w:line="276" w:lineRule="auto"/>
              <w:ind w:left="360"/>
              <w:contextualSpacing/>
              <w:jc w:val="both"/>
              <w:rPr>
                <w:rFonts w:ascii="Bookman Old Style" w:hAnsi="Bookman Old Style" w:cs="Arial"/>
                <w:sz w:val="10"/>
                <w:lang w:val="es-ES_tradnl"/>
              </w:rPr>
            </w:pPr>
            <w:r>
              <w:rPr>
                <w:rFonts w:ascii="Bookman Old Style" w:hAnsi="Bookman Old Style"/>
                <w:lang w:val="es-ES_tradnl"/>
              </w:rPr>
              <w:t>La empresa</w:t>
            </w:r>
            <w:r w:rsidRPr="007232A8">
              <w:rPr>
                <w:rFonts w:ascii="Bookman Old Style" w:hAnsi="Bookman Old Style"/>
                <w:lang w:val="es-ES_tradnl"/>
              </w:rPr>
              <w:t xml:space="preserve"> deberá proponer al Tribunal Supremo Electoral itinerarios </w:t>
            </w:r>
            <w:r>
              <w:rPr>
                <w:rFonts w:ascii="Bookman Old Style" w:hAnsi="Bookman Old Style"/>
                <w:lang w:val="es-ES_tradnl"/>
              </w:rPr>
              <w:t xml:space="preserve">preferentemente </w:t>
            </w:r>
            <w:r w:rsidRPr="007232A8">
              <w:rPr>
                <w:rFonts w:ascii="Bookman Old Style" w:hAnsi="Bookman Old Style"/>
                <w:lang w:val="es-ES_tradnl"/>
              </w:rPr>
              <w:t>con rutas directas, aplicando en todo momento la tarifa más baja</w:t>
            </w:r>
            <w:r w:rsidR="00286288" w:rsidRPr="007232A8">
              <w:rPr>
                <w:rFonts w:ascii="Bookman Old Style" w:hAnsi="Bookman Old Style"/>
                <w:lang w:val="es-ES_tradnl"/>
              </w:rPr>
              <w:t xml:space="preserve"> </w:t>
            </w:r>
            <w:r w:rsidR="00286288">
              <w:rPr>
                <w:rFonts w:ascii="Bookman Old Style" w:hAnsi="Bookman Old Style"/>
                <w:lang w:val="es-ES_tradnl"/>
              </w:rPr>
              <w:t>vigente</w:t>
            </w:r>
            <w:r w:rsidR="00286288" w:rsidRPr="007232A8">
              <w:rPr>
                <w:rFonts w:ascii="Bookman Old Style" w:hAnsi="Bookman Old Style"/>
                <w:lang w:val="es-ES_tradnl"/>
              </w:rPr>
              <w:t xml:space="preserve"> a la fecha de emisión</w:t>
            </w:r>
            <w:r w:rsidR="00286288">
              <w:rPr>
                <w:rFonts w:ascii="Bookman Old Style" w:hAnsi="Bookman Old Style"/>
                <w:lang w:val="es-ES_tradnl"/>
              </w:rPr>
              <w:t xml:space="preserve"> de acuerdo al tramo requerido</w:t>
            </w:r>
            <w:r w:rsidRPr="007232A8">
              <w:rPr>
                <w:rFonts w:ascii="Bookman Old Style" w:hAnsi="Bookman Old Style"/>
                <w:lang w:val="es-ES_tradnl"/>
              </w:rPr>
              <w:t xml:space="preserve">. </w:t>
            </w:r>
          </w:p>
          <w:p w:rsidR="00FF2D77" w:rsidRDefault="005C678B" w:rsidP="00B912F5">
            <w:pPr>
              <w:pStyle w:val="Prrafodelista"/>
              <w:numPr>
                <w:ilvl w:val="0"/>
                <w:numId w:val="16"/>
              </w:numPr>
              <w:spacing w:after="200" w:line="276" w:lineRule="auto"/>
              <w:contextualSpacing/>
              <w:jc w:val="both"/>
              <w:rPr>
                <w:rFonts w:ascii="Bookman Old Style" w:hAnsi="Bookman Old Style" w:cs="Arial"/>
                <w:lang w:val="es-ES_tradnl"/>
              </w:rPr>
            </w:pPr>
            <w:r>
              <w:rPr>
                <w:rFonts w:ascii="Bookman Old Style" w:hAnsi="Bookman Old Style" w:cs="Arial"/>
                <w:lang w:val="es-ES_tradnl" w:eastAsia="es-ES"/>
              </w:rPr>
              <w:t xml:space="preserve">Información de </w:t>
            </w:r>
            <w:r w:rsidR="00FF2D77" w:rsidRPr="000F2272">
              <w:rPr>
                <w:rFonts w:ascii="Bookman Old Style" w:hAnsi="Bookman Old Style" w:cs="Arial"/>
                <w:lang w:val="es-ES_tradnl" w:eastAsia="es-ES"/>
              </w:rPr>
              <w:t>programas, promociones y beneficios que brindan las líneas aéreas.</w:t>
            </w:r>
          </w:p>
          <w:p w:rsidR="00C95D90" w:rsidRDefault="00FF2D77" w:rsidP="00FF2D77">
            <w:pPr>
              <w:pStyle w:val="Prrafodelista"/>
              <w:spacing w:after="200" w:line="276" w:lineRule="auto"/>
              <w:ind w:left="360"/>
              <w:contextualSpacing/>
              <w:jc w:val="both"/>
              <w:rPr>
                <w:lang w:val="es-ES_tradnl"/>
              </w:rPr>
            </w:pPr>
            <w:r w:rsidRPr="000F2272">
              <w:rPr>
                <w:rFonts w:ascii="Bookman Old Style" w:hAnsi="Bookman Old Style" w:cs="Arial"/>
                <w:lang w:val="es-ES_tradnl"/>
              </w:rPr>
              <w:t xml:space="preserve">La empresa deberá </w:t>
            </w:r>
            <w:r w:rsidR="005C678B">
              <w:rPr>
                <w:rFonts w:ascii="Bookman Old Style" w:hAnsi="Bookman Old Style" w:cs="Arial"/>
                <w:lang w:val="es-ES_tradnl"/>
              </w:rPr>
              <w:t>informar</w:t>
            </w:r>
            <w:r w:rsidRPr="000F2272">
              <w:rPr>
                <w:rFonts w:ascii="Bookman Old Style" w:hAnsi="Bookman Old Style" w:cs="Arial"/>
                <w:lang w:val="es-ES_tradnl"/>
              </w:rPr>
              <w:t xml:space="preserve"> </w:t>
            </w:r>
            <w:r w:rsidR="005C678B">
              <w:rPr>
                <w:rFonts w:ascii="Bookman Old Style" w:hAnsi="Bookman Old Style" w:cs="Arial"/>
                <w:lang w:val="es-ES_tradnl"/>
              </w:rPr>
              <w:t xml:space="preserve">y gestionar </w:t>
            </w:r>
            <w:r w:rsidRPr="000F2272">
              <w:rPr>
                <w:rFonts w:ascii="Bookman Old Style" w:hAnsi="Bookman Old Style" w:cs="Arial"/>
                <w:lang w:val="es-ES_tradnl"/>
              </w:rPr>
              <w:t>la participación y acceso del TSE a todos los programas, promociones corporativas y otros que realicen las distintas líneas aéreas, para lo cual debe brindar información por escrito de manera oportuna o a requerimiento de la entidad</w:t>
            </w:r>
            <w:r w:rsidR="00DA4A5B">
              <w:rPr>
                <w:rFonts w:ascii="Bookman Old Style" w:hAnsi="Bookman Old Style" w:cs="Arial"/>
                <w:lang w:val="es-ES_tradnl"/>
              </w:rPr>
              <w:t>.</w:t>
            </w:r>
          </w:p>
          <w:p w:rsidR="00D87A33" w:rsidRPr="007232A8" w:rsidRDefault="00D87A33" w:rsidP="00D87A33">
            <w:pPr>
              <w:numPr>
                <w:ilvl w:val="0"/>
                <w:numId w:val="16"/>
              </w:numPr>
              <w:jc w:val="both"/>
              <w:rPr>
                <w:rFonts w:ascii="Bookman Old Style" w:hAnsi="Bookman Old Style" w:cs="Arial"/>
                <w:sz w:val="20"/>
                <w:szCs w:val="20"/>
                <w:lang w:val="es-ES_tradnl"/>
              </w:rPr>
            </w:pPr>
            <w:r w:rsidRPr="007232A8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Equipo Mínimo</w:t>
            </w:r>
          </w:p>
          <w:p w:rsidR="00D87A33" w:rsidRPr="00DA4A5B" w:rsidRDefault="00D87A33" w:rsidP="00D87A33">
            <w:pPr>
              <w:ind w:left="360"/>
              <w:jc w:val="both"/>
              <w:rPr>
                <w:rFonts w:ascii="Bookman Old Style" w:hAnsi="Bookman Old Style"/>
                <w:sz w:val="14"/>
                <w:szCs w:val="20"/>
                <w:lang w:val="es-ES_tradnl"/>
              </w:rPr>
            </w:pPr>
          </w:p>
          <w:p w:rsidR="00D87A33" w:rsidRPr="007232A8" w:rsidRDefault="00D87A33" w:rsidP="00D87A33">
            <w:pPr>
              <w:numPr>
                <w:ilvl w:val="0"/>
                <w:numId w:val="23"/>
              </w:numPr>
              <w:ind w:left="776" w:hanging="350"/>
              <w:rPr>
                <w:rFonts w:ascii="Bookman Old Style" w:hAnsi="Bookman Old Style" w:cs="Arial"/>
                <w:sz w:val="20"/>
                <w:szCs w:val="20"/>
                <w:lang w:val="es-ES_tradnl"/>
              </w:rPr>
            </w:pPr>
            <w:r w:rsidRPr="007232A8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Sistema de comunicación vía teléfono fijo, móvil, fax y correo electrónico.</w:t>
            </w:r>
          </w:p>
          <w:p w:rsidR="00D87A33" w:rsidRPr="00DA4A5B" w:rsidRDefault="00D87A33" w:rsidP="00D87A33">
            <w:pPr>
              <w:rPr>
                <w:rFonts w:ascii="Bookman Old Style" w:hAnsi="Bookman Old Style"/>
                <w:sz w:val="14"/>
                <w:szCs w:val="20"/>
                <w:lang w:val="es-ES_tradnl"/>
              </w:rPr>
            </w:pPr>
          </w:p>
          <w:p w:rsidR="00D87A33" w:rsidRPr="007232A8" w:rsidRDefault="00D87A33" w:rsidP="00D87A33">
            <w:pPr>
              <w:numPr>
                <w:ilvl w:val="0"/>
                <w:numId w:val="23"/>
              </w:numPr>
              <w:ind w:left="709" w:hanging="283"/>
              <w:rPr>
                <w:rFonts w:ascii="Bookman Old Style" w:hAnsi="Bookman Old Style" w:cs="Arial"/>
                <w:sz w:val="20"/>
                <w:szCs w:val="20"/>
                <w:lang w:val="es-ES_tradnl"/>
              </w:rPr>
            </w:pPr>
            <w:r w:rsidRPr="007232A8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Programas informáticos autorizados de uso en el sector y actualizados para la reserva de pasajes que ayuden al acceso, reserva y emisión  de manera oportuna.</w:t>
            </w:r>
          </w:p>
          <w:p w:rsidR="005C678B" w:rsidRPr="00FF2D77" w:rsidRDefault="005C678B" w:rsidP="00D87A33">
            <w:pPr>
              <w:ind w:left="720"/>
              <w:rPr>
                <w:lang w:val="es-ES_tradnl"/>
              </w:rPr>
            </w:pPr>
          </w:p>
        </w:tc>
      </w:tr>
      <w:tr w:rsidR="00617109" w:rsidRPr="00736756" w:rsidTr="00EB6F15">
        <w:trPr>
          <w:cantSplit/>
          <w:trHeight w:val="477"/>
        </w:trPr>
        <w:tc>
          <w:tcPr>
            <w:tcW w:w="5000" w:type="pct"/>
            <w:shd w:val="clear" w:color="auto" w:fill="767171"/>
            <w:vAlign w:val="center"/>
          </w:tcPr>
          <w:p w:rsidR="00617109" w:rsidRPr="007232A8" w:rsidRDefault="00617109" w:rsidP="00617109">
            <w:pPr>
              <w:pStyle w:val="Textoindependiente3"/>
              <w:numPr>
                <w:ilvl w:val="0"/>
                <w:numId w:val="6"/>
              </w:numPr>
              <w:rPr>
                <w:rFonts w:ascii="Bookman Old Style" w:hAnsi="Bookman Old Style"/>
                <w:b/>
                <w:bCs/>
                <w:i/>
                <w:iCs/>
                <w:color w:val="FFFFFF"/>
                <w:sz w:val="20"/>
              </w:rPr>
            </w:pPr>
            <w:r w:rsidRPr="007232A8">
              <w:rPr>
                <w:rFonts w:ascii="Bookman Old Style" w:hAnsi="Bookman Old Style"/>
                <w:b/>
                <w:bCs/>
                <w:color w:val="FFFFFF"/>
                <w:sz w:val="20"/>
              </w:rPr>
              <w:lastRenderedPageBreak/>
              <w:t>CONDICIONES DEL SERVICIO</w:t>
            </w:r>
          </w:p>
        </w:tc>
      </w:tr>
      <w:tr w:rsidR="00617109" w:rsidRPr="00736756" w:rsidTr="00EB6F15">
        <w:trPr>
          <w:cantSplit/>
          <w:trHeight w:val="4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4C6E7"/>
            <w:vAlign w:val="center"/>
          </w:tcPr>
          <w:p w:rsidR="00617109" w:rsidRPr="007232A8" w:rsidRDefault="00617109" w:rsidP="00617109">
            <w:pPr>
              <w:pStyle w:val="Textoindependiente3"/>
              <w:numPr>
                <w:ilvl w:val="0"/>
                <w:numId w:val="10"/>
              </w:numPr>
              <w:rPr>
                <w:rFonts w:ascii="Bookman Old Style" w:hAnsi="Bookman Old Style"/>
                <w:b/>
                <w:bCs/>
                <w:sz w:val="20"/>
              </w:rPr>
            </w:pPr>
            <w:r w:rsidRPr="007232A8">
              <w:rPr>
                <w:rFonts w:ascii="Bookman Old Style" w:hAnsi="Bookman Old Style"/>
                <w:b/>
                <w:bCs/>
                <w:sz w:val="20"/>
              </w:rPr>
              <w:t>FORMALIZACIÓN</w:t>
            </w:r>
          </w:p>
        </w:tc>
      </w:tr>
      <w:tr w:rsidR="00617109" w:rsidRPr="00736756" w:rsidTr="00FF2D77">
        <w:trPr>
          <w:cantSplit/>
          <w:trHeight w:val="38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109" w:rsidRPr="00EB6F15" w:rsidRDefault="00617109" w:rsidP="00617109">
            <w:pPr>
              <w:pStyle w:val="Textoindependiente3"/>
              <w:ind w:left="290" w:hanging="290"/>
              <w:rPr>
                <w:rFonts w:ascii="Bookman Old Style" w:hAnsi="Bookman Old Style"/>
                <w:sz w:val="16"/>
              </w:rPr>
            </w:pPr>
          </w:p>
          <w:p w:rsidR="00617109" w:rsidRPr="007232A8" w:rsidRDefault="00617109" w:rsidP="00617109">
            <w:pPr>
              <w:pStyle w:val="Textoindependiente3"/>
              <w:ind w:left="290" w:hanging="290"/>
              <w:rPr>
                <w:rFonts w:ascii="Bookman Old Style" w:hAnsi="Bookman Old Style"/>
                <w:bCs/>
                <w:sz w:val="20"/>
              </w:rPr>
            </w:pPr>
            <w:r w:rsidRPr="007232A8">
              <w:rPr>
                <w:rFonts w:ascii="Bookman Old Style" w:hAnsi="Bookman Old Style"/>
                <w:bCs/>
                <w:sz w:val="20"/>
              </w:rPr>
              <w:t xml:space="preserve">La contratación se formalizara mediante la suscripción de CONTRATO. </w:t>
            </w:r>
          </w:p>
          <w:p w:rsidR="00617109" w:rsidRPr="00EB6F15" w:rsidRDefault="00617109" w:rsidP="00617109">
            <w:pPr>
              <w:pStyle w:val="Textoindependiente3"/>
              <w:ind w:left="290" w:hanging="290"/>
              <w:rPr>
                <w:rFonts w:ascii="Bookman Old Style" w:hAnsi="Bookman Old Style"/>
                <w:b/>
                <w:sz w:val="16"/>
              </w:rPr>
            </w:pPr>
          </w:p>
        </w:tc>
      </w:tr>
      <w:tr w:rsidR="00617109" w:rsidRPr="00736756" w:rsidTr="00EB6F15">
        <w:trPr>
          <w:cantSplit/>
          <w:trHeight w:val="42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4C6E7"/>
            <w:vAlign w:val="center"/>
          </w:tcPr>
          <w:p w:rsidR="00617109" w:rsidRPr="007232A8" w:rsidRDefault="00617109" w:rsidP="00583ADC">
            <w:pPr>
              <w:pStyle w:val="Textoindependiente3"/>
              <w:numPr>
                <w:ilvl w:val="0"/>
                <w:numId w:val="10"/>
              </w:numPr>
              <w:rPr>
                <w:rFonts w:ascii="Bookman Old Style" w:hAnsi="Bookman Old Style"/>
                <w:b/>
                <w:bCs/>
                <w:sz w:val="20"/>
              </w:rPr>
            </w:pPr>
            <w:r w:rsidRPr="007232A8">
              <w:rPr>
                <w:rFonts w:ascii="Bookman Old Style" w:hAnsi="Bookman Old Style"/>
                <w:b/>
                <w:bCs/>
                <w:sz w:val="20"/>
              </w:rPr>
              <w:t xml:space="preserve">LUGAR DE PRESTACIÓN DEL SERVICIO </w:t>
            </w:r>
          </w:p>
        </w:tc>
      </w:tr>
      <w:tr w:rsidR="00617109" w:rsidRPr="00736756" w:rsidTr="00156818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109" w:rsidRPr="00DE2065" w:rsidRDefault="00617109" w:rsidP="00617109">
            <w:pPr>
              <w:rPr>
                <w:rFonts w:ascii="Bookman Old Style" w:hAnsi="Bookman Old Style"/>
                <w:sz w:val="12"/>
                <w:szCs w:val="20"/>
              </w:rPr>
            </w:pPr>
          </w:p>
          <w:p w:rsidR="00617109" w:rsidRPr="007232A8" w:rsidRDefault="00617109" w:rsidP="00617109">
            <w:pPr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232A8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El servicio se prestara desde oficinas </w:t>
            </w:r>
            <w:r w:rsidR="008D5979" w:rsidRPr="007232A8">
              <w:rPr>
                <w:rFonts w:ascii="Bookman Old Style" w:hAnsi="Bookman Old Style" w:cs="Arial"/>
                <w:bCs/>
                <w:sz w:val="20"/>
                <w:szCs w:val="20"/>
              </w:rPr>
              <w:t>o</w:t>
            </w:r>
            <w:r w:rsidRPr="007232A8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donde disponga (en casos de emergencia) </w:t>
            </w:r>
            <w:r w:rsidR="007C3708">
              <w:rPr>
                <w:rFonts w:ascii="Bookman Old Style" w:hAnsi="Bookman Old Style" w:cs="Arial"/>
                <w:bCs/>
                <w:sz w:val="20"/>
                <w:szCs w:val="20"/>
              </w:rPr>
              <w:t>l</w:t>
            </w:r>
            <w:r w:rsidR="00B55B52">
              <w:rPr>
                <w:rFonts w:ascii="Bookman Old Style" w:hAnsi="Bookman Old Style" w:cs="Arial"/>
                <w:bCs/>
                <w:sz w:val="20"/>
                <w:szCs w:val="20"/>
              </w:rPr>
              <w:t>a empresa</w:t>
            </w:r>
            <w:r w:rsidRPr="007232A8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, debe garantizar una atención permanente al Tribunal Supremo Electoral de lunes a viernes </w:t>
            </w:r>
            <w:r w:rsidR="007C3708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en horarios de oficina y en casos de </w:t>
            </w:r>
            <w:r w:rsidRPr="007232A8">
              <w:rPr>
                <w:rFonts w:ascii="Bookman Old Style" w:hAnsi="Bookman Old Style" w:cs="Arial"/>
                <w:bCs/>
                <w:sz w:val="20"/>
                <w:szCs w:val="20"/>
              </w:rPr>
              <w:t>emergencias del Tribunal Supremo Electoral la atenció</w:t>
            </w:r>
            <w:r w:rsidR="007C3708">
              <w:rPr>
                <w:rFonts w:ascii="Bookman Old Style" w:hAnsi="Bookman Old Style" w:cs="Arial"/>
                <w:bCs/>
                <w:sz w:val="20"/>
                <w:szCs w:val="20"/>
              </w:rPr>
              <w:t>n deberá extenderse a horas fuera de oficina incluidos sábados y</w:t>
            </w:r>
            <w:r w:rsidRPr="007232A8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domingo</w:t>
            </w:r>
            <w:r w:rsidR="007C3708">
              <w:rPr>
                <w:rFonts w:ascii="Bookman Old Style" w:hAnsi="Bookman Old Style" w:cs="Arial"/>
                <w:bCs/>
                <w:sz w:val="20"/>
                <w:szCs w:val="20"/>
              </w:rPr>
              <w:t>s.</w:t>
            </w:r>
          </w:p>
          <w:p w:rsidR="00617109" w:rsidRPr="00EB6F15" w:rsidRDefault="00617109" w:rsidP="007C3708">
            <w:pPr>
              <w:shd w:val="clear" w:color="auto" w:fill="FFFFFF"/>
              <w:jc w:val="both"/>
              <w:rPr>
                <w:rFonts w:ascii="Bookman Old Style" w:hAnsi="Bookman Old Style"/>
                <w:sz w:val="16"/>
                <w:szCs w:val="20"/>
              </w:rPr>
            </w:pPr>
          </w:p>
        </w:tc>
      </w:tr>
      <w:tr w:rsidR="00617109" w:rsidRPr="00736756" w:rsidTr="00156818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4C6E7"/>
            <w:vAlign w:val="center"/>
          </w:tcPr>
          <w:p w:rsidR="00617109" w:rsidRPr="007232A8" w:rsidRDefault="00617109" w:rsidP="00617109">
            <w:pPr>
              <w:pStyle w:val="Textoindependiente3"/>
              <w:numPr>
                <w:ilvl w:val="0"/>
                <w:numId w:val="10"/>
              </w:numPr>
              <w:rPr>
                <w:rFonts w:ascii="Bookman Old Style" w:hAnsi="Bookman Old Style"/>
                <w:b/>
                <w:bCs/>
                <w:sz w:val="20"/>
              </w:rPr>
            </w:pPr>
            <w:r w:rsidRPr="007232A8">
              <w:rPr>
                <w:rFonts w:ascii="Bookman Old Style" w:hAnsi="Bookman Old Style"/>
                <w:b/>
                <w:bCs/>
                <w:sz w:val="20"/>
              </w:rPr>
              <w:t>PLAZO DEL SERVICIO</w:t>
            </w:r>
          </w:p>
        </w:tc>
      </w:tr>
      <w:tr w:rsidR="00617109" w:rsidRPr="00736756" w:rsidTr="00514A5B">
        <w:trPr>
          <w:trHeight w:val="7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F15" w:rsidRDefault="00617109" w:rsidP="00617109">
            <w:pPr>
              <w:pStyle w:val="Textoindependiente3"/>
              <w:spacing w:before="120"/>
              <w:rPr>
                <w:rFonts w:ascii="Bookman Old Style" w:hAnsi="Bookman Old Style"/>
                <w:bCs/>
                <w:iCs/>
                <w:sz w:val="20"/>
              </w:rPr>
            </w:pPr>
            <w:r w:rsidRPr="007232A8">
              <w:rPr>
                <w:rFonts w:ascii="Bookman Old Style" w:hAnsi="Bookman Old Style"/>
                <w:bCs/>
                <w:iCs/>
                <w:sz w:val="20"/>
              </w:rPr>
              <w:t>Computable a partir de la fecha de suscripción del CONTRATO hasta el 31 de diciembre de 202</w:t>
            </w:r>
            <w:r w:rsidR="007C3708">
              <w:rPr>
                <w:rFonts w:ascii="Bookman Old Style" w:hAnsi="Bookman Old Style"/>
                <w:bCs/>
                <w:iCs/>
                <w:sz w:val="20"/>
              </w:rPr>
              <w:t>1</w:t>
            </w:r>
            <w:r w:rsidRPr="007232A8">
              <w:rPr>
                <w:rFonts w:ascii="Bookman Old Style" w:hAnsi="Bookman Old Style"/>
                <w:bCs/>
                <w:iCs/>
                <w:sz w:val="20"/>
              </w:rPr>
              <w:t xml:space="preserve"> o hasta el límite presupuestario del contrato (lo que ocurra primero). </w:t>
            </w:r>
          </w:p>
          <w:p w:rsidR="00D83B13" w:rsidRPr="00D83B13" w:rsidRDefault="00D83B13" w:rsidP="00617109">
            <w:pPr>
              <w:pStyle w:val="Textoindependiente3"/>
              <w:spacing w:before="120"/>
              <w:rPr>
                <w:rFonts w:ascii="Bookman Old Style" w:hAnsi="Bookman Old Style"/>
                <w:bCs/>
                <w:iCs/>
                <w:sz w:val="8"/>
              </w:rPr>
            </w:pPr>
          </w:p>
        </w:tc>
      </w:tr>
      <w:tr w:rsidR="00617109" w:rsidRPr="00736756" w:rsidTr="00EB6F15">
        <w:trPr>
          <w:cantSplit/>
          <w:trHeight w:val="547"/>
        </w:trPr>
        <w:tc>
          <w:tcPr>
            <w:tcW w:w="5000" w:type="pct"/>
            <w:shd w:val="clear" w:color="auto" w:fill="B4C6E7"/>
            <w:vAlign w:val="center"/>
          </w:tcPr>
          <w:p w:rsidR="00617109" w:rsidRPr="007232A8" w:rsidRDefault="00617109" w:rsidP="00617109">
            <w:pPr>
              <w:pStyle w:val="Textoindependiente3"/>
              <w:numPr>
                <w:ilvl w:val="0"/>
                <w:numId w:val="10"/>
              </w:numPr>
              <w:rPr>
                <w:rFonts w:ascii="Bookman Old Style" w:hAnsi="Bookman Old Style"/>
                <w:b/>
                <w:bCs/>
                <w:sz w:val="20"/>
              </w:rPr>
            </w:pPr>
            <w:r w:rsidRPr="007232A8">
              <w:rPr>
                <w:rFonts w:ascii="Bookman Old Style" w:hAnsi="Bookman Old Style"/>
                <w:b/>
                <w:bCs/>
                <w:sz w:val="20"/>
              </w:rPr>
              <w:t xml:space="preserve">GARANTIAS </w:t>
            </w:r>
          </w:p>
        </w:tc>
      </w:tr>
      <w:tr w:rsidR="00617109" w:rsidRPr="00736756" w:rsidTr="00156818">
        <w:trPr>
          <w:cantSplit/>
          <w:trHeight w:val="397"/>
        </w:trPr>
        <w:tc>
          <w:tcPr>
            <w:tcW w:w="5000" w:type="pct"/>
            <w:shd w:val="clear" w:color="auto" w:fill="B4C6E7"/>
            <w:vAlign w:val="center"/>
          </w:tcPr>
          <w:p w:rsidR="00617109" w:rsidRPr="007232A8" w:rsidRDefault="00617109" w:rsidP="00617109">
            <w:pPr>
              <w:pStyle w:val="Textoindependiente3"/>
              <w:rPr>
                <w:rFonts w:ascii="Bookman Old Style" w:hAnsi="Bookman Old Style"/>
                <w:b/>
                <w:bCs/>
                <w:sz w:val="20"/>
              </w:rPr>
            </w:pPr>
            <w:r w:rsidRPr="007232A8">
              <w:rPr>
                <w:rFonts w:ascii="Bookman Old Style" w:hAnsi="Bookman Old Style"/>
                <w:b/>
                <w:bCs/>
                <w:sz w:val="20"/>
              </w:rPr>
              <w:t xml:space="preserve">      CUMPLIMIENTO DE CONTRATO</w:t>
            </w:r>
          </w:p>
        </w:tc>
      </w:tr>
      <w:tr w:rsidR="00617109" w:rsidRPr="00736756" w:rsidTr="00514A5B">
        <w:trPr>
          <w:trHeight w:val="491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617109" w:rsidRPr="00D83B13" w:rsidRDefault="00617109" w:rsidP="00617109">
            <w:pPr>
              <w:pStyle w:val="Prrafodelista"/>
              <w:ind w:left="0" w:right="8"/>
              <w:contextualSpacing/>
              <w:jc w:val="both"/>
              <w:rPr>
                <w:rFonts w:ascii="Bookman Old Style" w:hAnsi="Bookman Old Style" w:cs="Arial"/>
                <w:sz w:val="12"/>
              </w:rPr>
            </w:pPr>
          </w:p>
          <w:p w:rsidR="007C3708" w:rsidRDefault="007C3708" w:rsidP="007C3708">
            <w:pPr>
              <w:shd w:val="clear" w:color="auto" w:fill="FFFFFF" w:themeFill="background1"/>
              <w:jc w:val="both"/>
              <w:rPr>
                <w:rFonts w:ascii="Bookman Old Style" w:hAnsi="Bookman Old Style" w:cs="Arial"/>
                <w:sz w:val="20"/>
                <w:szCs w:val="20"/>
                <w:lang w:val="es-ES_tradnl"/>
              </w:rPr>
            </w:pPr>
            <w:r w:rsidRPr="001B0C5C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Se procederá a la retención del siete por ciento (7%) de cada pago</w:t>
            </w:r>
            <w:r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 parcial</w:t>
            </w:r>
            <w:r w:rsidRPr="001B0C5C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de seguros de viaje </w:t>
            </w:r>
            <w:r w:rsidRPr="001B0C5C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en reemplazo de la garantía de cumplimiento de contrato, en </w:t>
            </w:r>
            <w:r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el marco de </w:t>
            </w:r>
            <w:r w:rsidRPr="001B0C5C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lo establecido en las Normas Básicas del Sistema de Administración de Bienes y Servicios aprobados mediante el D.S. 181 </w:t>
            </w:r>
            <w:r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que en su </w:t>
            </w:r>
            <w:r w:rsidRPr="001B0C5C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Art 21) Inc. b) </w:t>
            </w:r>
            <w:r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establece que “</w:t>
            </w:r>
            <w:r w:rsidRPr="00D70CF2">
              <w:rPr>
                <w:rFonts w:ascii="Bookman Old Style" w:hAnsi="Bookman Old Style" w:cs="Arial"/>
                <w:i/>
                <w:sz w:val="20"/>
                <w:szCs w:val="20"/>
                <w:lang w:val="es-ES_tradnl"/>
              </w:rPr>
              <w:t>Para la Contratación Directa de Bienes y Servicios prestados por Empresas Públicas Nacionales Estratégicas...en reemplazo de la garantía de cumplimiento de contrato, la entidad contratante deberá efectuar una retención del siete por ciento (7%) de cada pago</w:t>
            </w:r>
            <w:r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”.</w:t>
            </w:r>
          </w:p>
          <w:p w:rsidR="007C3708" w:rsidRDefault="007C3708" w:rsidP="007C3708">
            <w:pPr>
              <w:shd w:val="clear" w:color="auto" w:fill="FFFFFF" w:themeFill="background1"/>
              <w:jc w:val="both"/>
              <w:rPr>
                <w:rFonts w:ascii="Bookman Old Style" w:hAnsi="Bookman Old Style" w:cs="Arial"/>
                <w:sz w:val="20"/>
                <w:szCs w:val="20"/>
                <w:lang w:val="es-ES_tradnl"/>
              </w:rPr>
            </w:pPr>
          </w:p>
          <w:p w:rsidR="007C3708" w:rsidRPr="007C3708" w:rsidRDefault="007C3708" w:rsidP="007C3708">
            <w:pPr>
              <w:pStyle w:val="Prrafodelista"/>
              <w:shd w:val="clear" w:color="auto" w:fill="FFFFFF" w:themeFill="background1"/>
              <w:ind w:left="0" w:right="8"/>
              <w:contextualSpacing/>
              <w:jc w:val="both"/>
              <w:rPr>
                <w:rFonts w:ascii="Bookman Old Style" w:hAnsi="Bookman Old Style" w:cs="Arial"/>
                <w:i/>
              </w:rPr>
            </w:pPr>
            <w:r w:rsidRPr="007C3708">
              <w:rPr>
                <w:rFonts w:ascii="Bookman Old Style" w:hAnsi="Bookman Old Style" w:cs="Arial"/>
                <w:lang w:val="es-ES_tradnl"/>
              </w:rPr>
              <w:t xml:space="preserve">Las retenciones del 7% por G.C.C. en pasajes nacionales e internacionales </w:t>
            </w:r>
            <w:r w:rsidRPr="007C3708">
              <w:rPr>
                <w:rFonts w:ascii="Bookman Old Style" w:hAnsi="Bookman Old Style" w:cs="Arial"/>
              </w:rPr>
              <w:t xml:space="preserve">no corresponde </w:t>
            </w:r>
            <w:r w:rsidRPr="007C3708">
              <w:rPr>
                <w:rFonts w:ascii="Bookman Old Style" w:hAnsi="Bookman Old Style" w:cs="Arial"/>
                <w:i/>
              </w:rPr>
              <w:t>(De acuerdo a lo establecido en la Disposición Adicional Cuarta del D.S. 3766 del 02 de enero de 2019)</w:t>
            </w:r>
          </w:p>
          <w:p w:rsidR="00617109" w:rsidRPr="007232A8" w:rsidRDefault="00617109" w:rsidP="0092718B">
            <w:pPr>
              <w:pStyle w:val="Prrafodelista"/>
              <w:ind w:left="0" w:right="8"/>
              <w:contextualSpacing/>
              <w:jc w:val="both"/>
              <w:rPr>
                <w:rFonts w:ascii="Bookman Old Style" w:hAnsi="Bookman Old Style"/>
              </w:rPr>
            </w:pPr>
          </w:p>
        </w:tc>
      </w:tr>
      <w:tr w:rsidR="00617109" w:rsidRPr="00736756" w:rsidTr="00156818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4C6E7"/>
            <w:vAlign w:val="center"/>
          </w:tcPr>
          <w:p w:rsidR="00617109" w:rsidRPr="007232A8" w:rsidRDefault="00617109" w:rsidP="00617109">
            <w:pPr>
              <w:pStyle w:val="Textoindependiente3"/>
              <w:numPr>
                <w:ilvl w:val="0"/>
                <w:numId w:val="10"/>
              </w:numPr>
              <w:rPr>
                <w:rFonts w:ascii="Bookman Old Style" w:hAnsi="Bookman Old Style"/>
                <w:b/>
                <w:bCs/>
                <w:sz w:val="20"/>
              </w:rPr>
            </w:pPr>
            <w:r w:rsidRPr="007232A8">
              <w:rPr>
                <w:rFonts w:ascii="Bookman Old Style" w:hAnsi="Bookman Old Style"/>
                <w:b/>
                <w:bCs/>
                <w:sz w:val="20"/>
              </w:rPr>
              <w:t>ANTICIPO</w:t>
            </w:r>
          </w:p>
        </w:tc>
      </w:tr>
      <w:tr w:rsidR="00617109" w:rsidRPr="00736756" w:rsidTr="00514A5B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F15" w:rsidRPr="00EB6F15" w:rsidRDefault="00EB6F15" w:rsidP="00617109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rFonts w:ascii="Bookman Old Style" w:hAnsi="Bookman Old Style" w:cs="Arial"/>
                <w:b/>
                <w:i/>
                <w:iCs/>
                <w:sz w:val="14"/>
                <w:szCs w:val="20"/>
                <w:lang w:val="es-BO"/>
              </w:rPr>
            </w:pPr>
          </w:p>
          <w:p w:rsidR="00617109" w:rsidRDefault="00617109" w:rsidP="00617109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rFonts w:ascii="Bookman Old Style" w:hAnsi="Bookman Old Style" w:cs="Arial"/>
                <w:sz w:val="20"/>
                <w:szCs w:val="20"/>
                <w:lang w:val="es-ES_tradnl"/>
              </w:rPr>
            </w:pPr>
            <w:r w:rsidRPr="007232A8">
              <w:rPr>
                <w:rFonts w:ascii="Bookman Old Style" w:hAnsi="Bookman Old Style" w:cs="Arial"/>
                <w:b/>
                <w:i/>
                <w:iCs/>
                <w:sz w:val="20"/>
                <w:szCs w:val="20"/>
                <w:lang w:val="es-BO"/>
              </w:rPr>
              <w:t xml:space="preserve"> </w:t>
            </w:r>
            <w:r w:rsidRPr="007232A8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“No se otorgará anticipo”.</w:t>
            </w:r>
          </w:p>
          <w:p w:rsidR="00EB6F15" w:rsidRPr="00EB6F15" w:rsidRDefault="00EB6F15" w:rsidP="00617109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rFonts w:ascii="Bookman Old Style" w:hAnsi="Bookman Old Style" w:cs="Arial"/>
                <w:sz w:val="14"/>
                <w:szCs w:val="20"/>
                <w:lang w:val="es-ES_tradnl"/>
              </w:rPr>
            </w:pPr>
          </w:p>
        </w:tc>
      </w:tr>
      <w:tr w:rsidR="00617109" w:rsidRPr="00736756" w:rsidTr="00FF2D77">
        <w:trPr>
          <w:cantSplit/>
          <w:trHeight w:val="54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4C6E7"/>
            <w:vAlign w:val="center"/>
          </w:tcPr>
          <w:p w:rsidR="00617109" w:rsidRPr="007232A8" w:rsidRDefault="00617109" w:rsidP="00617109">
            <w:pPr>
              <w:pStyle w:val="Textoindependiente3"/>
              <w:numPr>
                <w:ilvl w:val="0"/>
                <w:numId w:val="10"/>
              </w:numPr>
              <w:rPr>
                <w:rFonts w:ascii="Bookman Old Style" w:hAnsi="Bookman Old Style"/>
                <w:b/>
                <w:bCs/>
                <w:sz w:val="20"/>
              </w:rPr>
            </w:pPr>
            <w:r w:rsidRPr="007232A8">
              <w:rPr>
                <w:rFonts w:ascii="Bookman Old Style" w:hAnsi="Bookman Old Style"/>
                <w:b/>
                <w:bCs/>
                <w:sz w:val="20"/>
              </w:rPr>
              <w:t xml:space="preserve">RÉGIMEN DE MULTAS </w:t>
            </w:r>
          </w:p>
        </w:tc>
      </w:tr>
      <w:tr w:rsidR="00D87A33" w:rsidRPr="00736756" w:rsidTr="00D87A33">
        <w:trPr>
          <w:cantSplit/>
          <w:trHeight w:val="54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A33" w:rsidRPr="007232A8" w:rsidRDefault="00D87A33" w:rsidP="00D87A33">
            <w:pPr>
              <w:pStyle w:val="Textoindependiente3"/>
              <w:ind w:left="14" w:hanging="14"/>
              <w:rPr>
                <w:rFonts w:ascii="Bookman Old Style" w:hAnsi="Bookman Old Style"/>
                <w:bCs/>
                <w:i/>
                <w:iCs/>
                <w:sz w:val="20"/>
              </w:rPr>
            </w:pPr>
          </w:p>
          <w:p w:rsidR="00D87A33" w:rsidRDefault="00D87A33" w:rsidP="00D87A33">
            <w:pPr>
              <w:jc w:val="both"/>
              <w:rPr>
                <w:rFonts w:ascii="Bookman Old Style" w:hAnsi="Bookman Old Style" w:cs="Arial"/>
                <w:sz w:val="20"/>
                <w:szCs w:val="20"/>
                <w:lang w:val="es-ES_tradnl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La empresa</w:t>
            </w:r>
            <w:r w:rsidRPr="007232A8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 se sujetara a la aplicación de la penalidad ante el incumplimiento de algún requerimiento en la prestación del servicio, el monto de la multa será de 1% del importe </w:t>
            </w:r>
            <w:r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total </w:t>
            </w:r>
            <w:r w:rsidRPr="007232A8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del </w:t>
            </w:r>
            <w:r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mes </w:t>
            </w:r>
            <w:r w:rsidRPr="007232A8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de pago.</w:t>
            </w:r>
          </w:p>
          <w:p w:rsidR="00D87A33" w:rsidRPr="007232A8" w:rsidRDefault="00D87A33" w:rsidP="00D87A33">
            <w:pPr>
              <w:jc w:val="both"/>
              <w:rPr>
                <w:rFonts w:ascii="Bookman Old Style" w:hAnsi="Bookman Old Style" w:cs="Arial"/>
                <w:sz w:val="20"/>
                <w:szCs w:val="20"/>
                <w:lang w:val="es-ES_tradnl"/>
              </w:rPr>
            </w:pPr>
          </w:p>
          <w:p w:rsidR="00D87A33" w:rsidRDefault="00D87A33" w:rsidP="00D87A33">
            <w:pPr>
              <w:jc w:val="both"/>
              <w:rPr>
                <w:rFonts w:ascii="Bookman Old Style" w:hAnsi="Bookman Old Style" w:cs="Arial"/>
                <w:sz w:val="20"/>
                <w:szCs w:val="20"/>
                <w:lang w:val="es-ES_tradnl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La notificación por el </w:t>
            </w:r>
            <w:r w:rsidRPr="007232A8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incumplimiento del servicio se</w:t>
            </w:r>
            <w:r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 realizara a la empresa de manera escrita, para fines de aplicación de multa.</w:t>
            </w:r>
          </w:p>
          <w:p w:rsidR="00D87A33" w:rsidRDefault="00D87A33" w:rsidP="00D87A33">
            <w:pPr>
              <w:jc w:val="both"/>
              <w:rPr>
                <w:rFonts w:ascii="Bookman Old Style" w:hAnsi="Bookman Old Style" w:cs="Arial"/>
                <w:sz w:val="20"/>
                <w:szCs w:val="20"/>
                <w:lang w:val="es-ES_tradnl"/>
              </w:rPr>
            </w:pPr>
          </w:p>
          <w:p w:rsidR="00D87A33" w:rsidRPr="007232A8" w:rsidRDefault="00D87A33" w:rsidP="00D87A33">
            <w:pPr>
              <w:jc w:val="both"/>
              <w:rPr>
                <w:rFonts w:ascii="Bookman Old Style" w:hAnsi="Bookman Old Style" w:cs="Arial"/>
                <w:sz w:val="20"/>
                <w:szCs w:val="20"/>
                <w:lang w:val="es-ES_tradnl"/>
              </w:rPr>
            </w:pPr>
            <w:r w:rsidRPr="007232A8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Esta penalidad se aplicará salvo casos de fuerza mayor, caso fortuito u otras causas debidamente verificadas</w:t>
            </w:r>
            <w:r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 y evaluadas</w:t>
            </w:r>
            <w:r w:rsidRPr="007232A8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 por el </w:t>
            </w:r>
            <w:r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TSE.</w:t>
            </w:r>
          </w:p>
          <w:p w:rsidR="00D87A33" w:rsidRPr="007232A8" w:rsidRDefault="00D87A33" w:rsidP="00D87A33">
            <w:pPr>
              <w:jc w:val="both"/>
              <w:rPr>
                <w:rFonts w:ascii="Bookman Old Style" w:hAnsi="Bookman Old Style" w:cs="Arial"/>
                <w:sz w:val="20"/>
                <w:szCs w:val="20"/>
                <w:lang w:val="es-ES_tradnl"/>
              </w:rPr>
            </w:pPr>
          </w:p>
          <w:p w:rsidR="00D87A33" w:rsidRPr="007232A8" w:rsidRDefault="00D87A33" w:rsidP="00D87A33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rFonts w:ascii="Bookman Old Style" w:hAnsi="Bookman Old Style"/>
                <w:b/>
                <w:bCs/>
                <w:sz w:val="20"/>
              </w:rPr>
            </w:pPr>
          </w:p>
        </w:tc>
      </w:tr>
      <w:tr w:rsidR="00617109" w:rsidRPr="00736756" w:rsidTr="00156818">
        <w:trPr>
          <w:cantSplit/>
          <w:trHeight w:val="519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196E75" w:rsidRPr="007232A8" w:rsidRDefault="00196E75" w:rsidP="00196E75">
            <w:pPr>
              <w:jc w:val="both"/>
              <w:rPr>
                <w:rFonts w:ascii="Bookman Old Style" w:hAnsi="Bookman Old Style" w:cs="Arial"/>
                <w:sz w:val="20"/>
                <w:szCs w:val="20"/>
                <w:lang w:val="es-ES_tradnl"/>
              </w:rPr>
            </w:pPr>
          </w:p>
          <w:p w:rsidR="00196E75" w:rsidRPr="007232A8" w:rsidRDefault="00196E75" w:rsidP="00196E75">
            <w:pPr>
              <w:jc w:val="both"/>
              <w:rPr>
                <w:rFonts w:ascii="Bookman Old Style" w:hAnsi="Bookman Old Style" w:cs="Arial"/>
                <w:sz w:val="20"/>
                <w:szCs w:val="20"/>
                <w:lang w:val="es-ES_tradnl"/>
              </w:rPr>
            </w:pPr>
            <w:r w:rsidRPr="007232A8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En todos los casos de resolución de contrato por causas atribuibles al PROVEEDOR, la ENTIDAD no podrá cobrar multas que excedan el veinte por ciento (20%) del monto total del contrato. </w:t>
            </w:r>
          </w:p>
          <w:p w:rsidR="00617109" w:rsidRPr="007232A8" w:rsidRDefault="00617109" w:rsidP="0061710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7109" w:rsidRPr="00736756" w:rsidTr="00A25513">
        <w:trPr>
          <w:cantSplit/>
          <w:trHeight w:val="491"/>
        </w:trPr>
        <w:tc>
          <w:tcPr>
            <w:tcW w:w="5000" w:type="pct"/>
            <w:shd w:val="clear" w:color="auto" w:fill="B4C6E7"/>
            <w:vAlign w:val="center"/>
          </w:tcPr>
          <w:p w:rsidR="00617109" w:rsidRPr="007232A8" w:rsidRDefault="00617109" w:rsidP="00617109">
            <w:pPr>
              <w:pStyle w:val="Textoindependiente3"/>
              <w:numPr>
                <w:ilvl w:val="0"/>
                <w:numId w:val="10"/>
              </w:numPr>
              <w:rPr>
                <w:rFonts w:ascii="Bookman Old Style" w:hAnsi="Bookman Old Style"/>
                <w:b/>
                <w:bCs/>
                <w:sz w:val="20"/>
              </w:rPr>
            </w:pPr>
            <w:r w:rsidRPr="007232A8">
              <w:rPr>
                <w:rFonts w:ascii="Bookman Old Style" w:hAnsi="Bookman Old Style"/>
                <w:b/>
                <w:bCs/>
                <w:sz w:val="20"/>
              </w:rPr>
              <w:t>RESOLUCIÓN</w:t>
            </w:r>
          </w:p>
        </w:tc>
      </w:tr>
      <w:tr w:rsidR="00617109" w:rsidRPr="00736756" w:rsidTr="00156818">
        <w:trPr>
          <w:cantSplit/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617109" w:rsidRPr="009019DB" w:rsidRDefault="00617109" w:rsidP="00617109">
            <w:pPr>
              <w:jc w:val="both"/>
              <w:rPr>
                <w:rFonts w:ascii="Bookman Old Style" w:hAnsi="Bookman Old Style" w:cs="Arial"/>
                <w:sz w:val="16"/>
                <w:szCs w:val="20"/>
                <w:lang w:val="es-ES_tradnl"/>
              </w:rPr>
            </w:pPr>
          </w:p>
          <w:p w:rsidR="00617109" w:rsidRPr="009019DB" w:rsidRDefault="00617109" w:rsidP="00B912F5">
            <w:pPr>
              <w:jc w:val="both"/>
              <w:rPr>
                <w:rFonts w:ascii="Bookman Old Style" w:hAnsi="Bookman Old Style" w:cs="Arial"/>
                <w:sz w:val="20"/>
                <w:szCs w:val="20"/>
                <w:lang w:val="es-ES_tradnl"/>
              </w:rPr>
            </w:pPr>
            <w:r w:rsidRPr="009019DB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Por suspensión de la prestación de los SERVICIOS </w:t>
            </w:r>
            <w:r w:rsidR="009019DB" w:rsidRPr="009019DB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por 3 días calendario continuos o 3 solicitudes no cumplidas de emisiones </w:t>
            </w:r>
            <w:r w:rsidRPr="009019DB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sin </w:t>
            </w:r>
            <w:r w:rsidR="009019DB" w:rsidRPr="009019DB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la debida </w:t>
            </w:r>
            <w:r w:rsidRPr="009019DB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justificación </w:t>
            </w:r>
            <w:r w:rsidR="005268B1" w:rsidRPr="009019DB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y previo conocimiento del TSE</w:t>
            </w:r>
            <w:r w:rsidR="009019DB" w:rsidRPr="009019DB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, </w:t>
            </w:r>
            <w:r w:rsidR="00DE2065" w:rsidRPr="009019DB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durante el tiempo que dure el servicio.</w:t>
            </w:r>
          </w:p>
          <w:p w:rsidR="005268B1" w:rsidRPr="002124C1" w:rsidRDefault="005268B1" w:rsidP="005268B1">
            <w:pPr>
              <w:jc w:val="both"/>
              <w:rPr>
                <w:rFonts w:ascii="Bookman Old Style" w:hAnsi="Bookman Old Style"/>
                <w:b/>
                <w:sz w:val="16"/>
                <w:lang w:val="es-BO"/>
              </w:rPr>
            </w:pPr>
          </w:p>
        </w:tc>
      </w:tr>
      <w:tr w:rsidR="00617109" w:rsidRPr="00736756" w:rsidTr="00FF2D77">
        <w:trPr>
          <w:cantSplit/>
          <w:trHeight w:val="637"/>
        </w:trPr>
        <w:tc>
          <w:tcPr>
            <w:tcW w:w="5000" w:type="pct"/>
            <w:shd w:val="clear" w:color="auto" w:fill="B4C6E7"/>
            <w:vAlign w:val="center"/>
          </w:tcPr>
          <w:p w:rsidR="00617109" w:rsidRPr="007232A8" w:rsidRDefault="00617109" w:rsidP="00617109">
            <w:pPr>
              <w:pStyle w:val="Textoindependiente3"/>
              <w:numPr>
                <w:ilvl w:val="0"/>
                <w:numId w:val="10"/>
              </w:numPr>
              <w:rPr>
                <w:rFonts w:ascii="Bookman Old Style" w:hAnsi="Bookman Old Style"/>
                <w:b/>
                <w:sz w:val="20"/>
                <w:lang w:val="es-BO"/>
              </w:rPr>
            </w:pPr>
            <w:r w:rsidRPr="007232A8">
              <w:rPr>
                <w:rFonts w:ascii="Bookman Old Style" w:hAnsi="Bookman Old Style"/>
                <w:b/>
                <w:bCs/>
                <w:sz w:val="20"/>
              </w:rPr>
              <w:t>RESPONSABLE DE RECEPCIÓN</w:t>
            </w:r>
          </w:p>
        </w:tc>
      </w:tr>
      <w:tr w:rsidR="00617109" w:rsidRPr="00736756" w:rsidTr="00952371">
        <w:trPr>
          <w:cantSplit/>
          <w:trHeight w:val="2376"/>
        </w:trPr>
        <w:tc>
          <w:tcPr>
            <w:tcW w:w="5000" w:type="pct"/>
            <w:shd w:val="clear" w:color="auto" w:fill="auto"/>
            <w:vAlign w:val="center"/>
          </w:tcPr>
          <w:p w:rsidR="00A25513" w:rsidRPr="00952371" w:rsidRDefault="00A25513" w:rsidP="00617109">
            <w:pPr>
              <w:pStyle w:val="Textoindependiente3"/>
              <w:rPr>
                <w:rFonts w:ascii="Bookman Old Style" w:hAnsi="Bookman Old Style"/>
                <w:bCs/>
                <w:sz w:val="4"/>
                <w:lang w:val="es-ES_tradnl"/>
              </w:rPr>
            </w:pPr>
          </w:p>
          <w:p w:rsidR="00617109" w:rsidRPr="007232A8" w:rsidRDefault="00617109" w:rsidP="00617109">
            <w:pPr>
              <w:pStyle w:val="Textoindependiente3"/>
              <w:rPr>
                <w:rFonts w:ascii="Bookman Old Style" w:hAnsi="Bookman Old Style"/>
                <w:bCs/>
                <w:sz w:val="20"/>
                <w:lang w:val="es-ES_tradnl"/>
              </w:rPr>
            </w:pPr>
            <w:r w:rsidRPr="007232A8">
              <w:rPr>
                <w:rFonts w:ascii="Bookman Old Style" w:hAnsi="Bookman Old Style"/>
                <w:bCs/>
                <w:sz w:val="20"/>
                <w:lang w:val="es-ES_tradnl"/>
              </w:rPr>
              <w:t>El Responsable o Comisión de Recepción se encargará de realizar el seguimiento al servicio contratado conforme el Art. 39 del D.S. 0181, a cuyo efecto realizará las siguientes funciones:</w:t>
            </w:r>
          </w:p>
          <w:p w:rsidR="00617109" w:rsidRPr="002124C1" w:rsidRDefault="00617109" w:rsidP="00617109">
            <w:pPr>
              <w:pStyle w:val="Textoindependiente3"/>
              <w:rPr>
                <w:rFonts w:ascii="Bookman Old Style" w:hAnsi="Bookman Old Style"/>
                <w:bCs/>
                <w:sz w:val="16"/>
                <w:lang w:val="es-ES_tradnl"/>
              </w:rPr>
            </w:pPr>
          </w:p>
          <w:p w:rsidR="00617109" w:rsidRPr="007232A8" w:rsidRDefault="00617109" w:rsidP="00617109">
            <w:pPr>
              <w:pStyle w:val="Textoindependiente3"/>
              <w:numPr>
                <w:ilvl w:val="0"/>
                <w:numId w:val="20"/>
              </w:numPr>
              <w:rPr>
                <w:rFonts w:ascii="Bookman Old Style" w:hAnsi="Bookman Old Style"/>
                <w:bCs/>
                <w:sz w:val="20"/>
              </w:rPr>
            </w:pPr>
            <w:r w:rsidRPr="007232A8">
              <w:rPr>
                <w:rFonts w:ascii="Bookman Old Style" w:hAnsi="Bookman Old Style"/>
                <w:bCs/>
                <w:sz w:val="20"/>
              </w:rPr>
              <w:t>Efectuar la recepción del servicio y dar su conformidad verificando el cumplimiento de las especificaciones técnicas.</w:t>
            </w:r>
          </w:p>
          <w:p w:rsidR="00617109" w:rsidRPr="007232A8" w:rsidRDefault="00617109" w:rsidP="00617109">
            <w:pPr>
              <w:pStyle w:val="Textoindependiente3"/>
              <w:numPr>
                <w:ilvl w:val="0"/>
                <w:numId w:val="20"/>
              </w:numPr>
              <w:rPr>
                <w:rFonts w:ascii="Bookman Old Style" w:hAnsi="Bookman Old Style"/>
                <w:bCs/>
                <w:sz w:val="20"/>
              </w:rPr>
            </w:pPr>
            <w:r w:rsidRPr="007232A8">
              <w:rPr>
                <w:rFonts w:ascii="Bookman Old Style" w:hAnsi="Bookman Old Style"/>
                <w:bCs/>
                <w:sz w:val="20"/>
              </w:rPr>
              <w:t>Emitir el informe de c</w:t>
            </w:r>
            <w:r w:rsidR="00C0025E">
              <w:rPr>
                <w:rFonts w:ascii="Bookman Old Style" w:hAnsi="Bookman Old Style"/>
                <w:bCs/>
                <w:sz w:val="20"/>
              </w:rPr>
              <w:t>onformidad, cuando corresponda.</w:t>
            </w:r>
          </w:p>
          <w:p w:rsidR="00A25513" w:rsidRPr="00DE2065" w:rsidRDefault="00617109" w:rsidP="00952371">
            <w:pPr>
              <w:pStyle w:val="Textoindependiente3"/>
              <w:numPr>
                <w:ilvl w:val="0"/>
                <w:numId w:val="20"/>
              </w:numPr>
              <w:rPr>
                <w:rFonts w:ascii="Bookman Old Style" w:hAnsi="Bookman Old Style" w:cs="Times New Roman"/>
                <w:sz w:val="20"/>
                <w:lang w:val="es-BO" w:eastAsia="en-US"/>
              </w:rPr>
            </w:pPr>
            <w:r w:rsidRPr="007232A8">
              <w:rPr>
                <w:rFonts w:ascii="Bookman Old Style" w:hAnsi="Bookman Old Style"/>
                <w:bCs/>
                <w:sz w:val="20"/>
              </w:rPr>
              <w:t>Emitir el informe de disconformidad, cuando corresponda.</w:t>
            </w:r>
          </w:p>
          <w:p w:rsidR="00DE2065" w:rsidRPr="00DE2065" w:rsidRDefault="00DE2065" w:rsidP="00DE2065">
            <w:pPr>
              <w:pStyle w:val="Textoindependiente3"/>
              <w:rPr>
                <w:rFonts w:ascii="Bookman Old Style" w:hAnsi="Bookman Old Style" w:cs="Times New Roman"/>
                <w:sz w:val="8"/>
                <w:lang w:val="es-BO" w:eastAsia="en-US"/>
              </w:rPr>
            </w:pPr>
          </w:p>
        </w:tc>
      </w:tr>
      <w:tr w:rsidR="00286288" w:rsidRPr="00F7497C" w:rsidTr="00B912F5">
        <w:trPr>
          <w:trHeight w:val="53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286288" w:rsidRPr="00286288" w:rsidRDefault="00286288" w:rsidP="00880784">
            <w:pPr>
              <w:pStyle w:val="Textoindependiente3"/>
              <w:numPr>
                <w:ilvl w:val="0"/>
                <w:numId w:val="10"/>
              </w:numPr>
              <w:rPr>
                <w:b/>
                <w:bCs/>
                <w:sz w:val="12"/>
              </w:rPr>
            </w:pPr>
            <w:r w:rsidRPr="00286288">
              <w:rPr>
                <w:rFonts w:ascii="Bookman Old Style" w:hAnsi="Bookman Old Style"/>
                <w:b/>
                <w:bCs/>
                <w:sz w:val="20"/>
              </w:rPr>
              <w:t>MONTO Y FORMA DE PAGO</w:t>
            </w:r>
          </w:p>
        </w:tc>
      </w:tr>
      <w:tr w:rsidR="00286288" w:rsidRPr="00F7497C" w:rsidTr="00B912F5">
        <w:trPr>
          <w:trHeight w:val="17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288" w:rsidRPr="00286288" w:rsidRDefault="00286288" w:rsidP="00286288">
            <w:pPr>
              <w:pStyle w:val="Textoindependiente3"/>
              <w:shd w:val="clear" w:color="auto" w:fill="FFFFFF" w:themeFill="background1"/>
              <w:ind w:left="720"/>
              <w:rPr>
                <w:b/>
                <w:bCs/>
                <w:sz w:val="12"/>
              </w:rPr>
            </w:pPr>
          </w:p>
          <w:p w:rsidR="00286288" w:rsidRPr="002705B1" w:rsidRDefault="00286288" w:rsidP="00286288">
            <w:pPr>
              <w:shd w:val="clear" w:color="auto" w:fill="FFFFFF" w:themeFill="background1"/>
              <w:jc w:val="both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286288">
              <w:rPr>
                <w:rFonts w:ascii="Bookman Old Style" w:hAnsi="Bookman Old Style" w:cs="Arial"/>
                <w:bCs/>
                <w:sz w:val="20"/>
                <w:szCs w:val="20"/>
              </w:rPr>
              <w:t>El pago se realizará vía SIGEP</w:t>
            </w:r>
            <w:r w:rsidR="00C0025E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de manera mensual</w:t>
            </w:r>
            <w:r w:rsidRPr="00286288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, previa conformidad (emitido por el responsable </w:t>
            </w:r>
            <w:r w:rsidR="006721AC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o comisión de </w:t>
            </w:r>
            <w:r w:rsidRPr="00286288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recepción), hasta el límite presupuestario de </w:t>
            </w:r>
            <w:r w:rsidRPr="002705B1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Bs</w:t>
            </w:r>
            <w:r w:rsidR="002705B1" w:rsidRPr="002705B1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445</w:t>
            </w:r>
            <w:r w:rsidRPr="002705B1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.</w:t>
            </w:r>
            <w:r w:rsidR="002705B1" w:rsidRPr="002705B1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059</w:t>
            </w:r>
            <w:proofErr w:type="gramStart"/>
            <w:r w:rsidRPr="002705B1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,00</w:t>
            </w:r>
            <w:proofErr w:type="gramEnd"/>
            <w:r w:rsidRPr="002705B1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(</w:t>
            </w:r>
            <w:r w:rsidR="002705B1" w:rsidRPr="002705B1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Cuatrocientos Cuarenta y Cinco Mil Cincuenta y Nueve </w:t>
            </w:r>
            <w:r w:rsidRPr="002705B1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00/100 bolivianos)</w:t>
            </w:r>
            <w:r w:rsidR="002705B1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.</w:t>
            </w:r>
          </w:p>
          <w:p w:rsidR="00286288" w:rsidRPr="00D87A33" w:rsidRDefault="00286288" w:rsidP="00286288">
            <w:pPr>
              <w:shd w:val="clear" w:color="auto" w:fill="FFFFFF" w:themeFill="background1"/>
              <w:jc w:val="both"/>
              <w:rPr>
                <w:rFonts w:ascii="Bookman Old Style" w:hAnsi="Bookman Old Style" w:cs="Arial"/>
                <w:bCs/>
                <w:sz w:val="2"/>
                <w:szCs w:val="20"/>
              </w:rPr>
            </w:pPr>
          </w:p>
          <w:p w:rsidR="00D87A33" w:rsidRDefault="00D87A33" w:rsidP="00286288">
            <w:pPr>
              <w:shd w:val="clear" w:color="auto" w:fill="FFFFFF" w:themeFill="background1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:rsidR="00D87A33" w:rsidRPr="00D87A33" w:rsidRDefault="00D87A33" w:rsidP="00286288">
            <w:pPr>
              <w:shd w:val="clear" w:color="auto" w:fill="FFFFFF" w:themeFill="background1"/>
              <w:jc w:val="both"/>
              <w:rPr>
                <w:rFonts w:ascii="Bookman Old Style" w:hAnsi="Bookman Old Style" w:cs="Arial"/>
                <w:bCs/>
                <w:sz w:val="2"/>
                <w:szCs w:val="20"/>
              </w:rPr>
            </w:pPr>
          </w:p>
          <w:p w:rsidR="00B912F5" w:rsidRPr="007232A8" w:rsidRDefault="00286288" w:rsidP="00B912F5">
            <w:pPr>
              <w:shd w:val="clear" w:color="auto" w:fill="FFFFFF" w:themeFill="background1"/>
              <w:jc w:val="both"/>
              <w:rPr>
                <w:rFonts w:ascii="Bookman Old Style" w:hAnsi="Bookman Old Style" w:cs="Arial"/>
                <w:sz w:val="20"/>
                <w:szCs w:val="20"/>
                <w:lang w:val="es-ES_tradnl"/>
              </w:rPr>
            </w:pPr>
            <w:r w:rsidRPr="00286288">
              <w:rPr>
                <w:rFonts w:ascii="Bookman Old Style" w:hAnsi="Bookman Old Style" w:cs="Arial"/>
                <w:bCs/>
                <w:sz w:val="20"/>
                <w:szCs w:val="20"/>
              </w:rPr>
              <w:t>Por la prestación del SERVICIO se procederá el pago</w:t>
            </w:r>
            <w:r w:rsidR="002705B1">
              <w:rPr>
                <w:rFonts w:ascii="Bookman Old Style" w:hAnsi="Bookman Old Style" w:cs="Arial"/>
                <w:bCs/>
                <w:sz w:val="20"/>
                <w:szCs w:val="20"/>
              </w:rPr>
              <w:t>,</w:t>
            </w:r>
            <w:r w:rsidRPr="00286288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r w:rsidR="002705B1">
              <w:rPr>
                <w:rFonts w:ascii="Bookman Old Style" w:hAnsi="Bookman Old Style" w:cs="Arial"/>
                <w:bCs/>
                <w:sz w:val="20"/>
                <w:szCs w:val="20"/>
              </w:rPr>
              <w:t>previa remisión</w:t>
            </w:r>
            <w:r w:rsidRPr="00286288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de las notas de </w:t>
            </w:r>
            <w:r w:rsidR="002705B1">
              <w:rPr>
                <w:rFonts w:ascii="Bookman Old Style" w:hAnsi="Bookman Old Style" w:cs="Arial"/>
                <w:bCs/>
                <w:sz w:val="20"/>
                <w:szCs w:val="20"/>
              </w:rPr>
              <w:t>débito</w:t>
            </w:r>
            <w:r w:rsidRPr="00286288">
              <w:rPr>
                <w:rFonts w:ascii="Bookman Old Style" w:hAnsi="Bookman Old Style" w:cs="Arial"/>
                <w:bCs/>
                <w:sz w:val="20"/>
                <w:szCs w:val="20"/>
              </w:rPr>
              <w:t>,  factura</w:t>
            </w:r>
            <w:r w:rsidR="002705B1">
              <w:rPr>
                <w:rFonts w:ascii="Bookman Old Style" w:hAnsi="Bookman Old Style" w:cs="Arial"/>
                <w:bCs/>
                <w:sz w:val="20"/>
                <w:szCs w:val="20"/>
              </w:rPr>
              <w:t>s</w:t>
            </w:r>
            <w:r w:rsidRPr="00286288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y/o ticket electrónico al Tribunal Supremo Electoral, así como </w:t>
            </w:r>
            <w:r w:rsidR="00B912F5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una plan</w:t>
            </w:r>
            <w:r w:rsidR="00B912F5" w:rsidRPr="007232A8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illa detallando de manera clara la siguiente información</w:t>
            </w:r>
            <w:r w:rsidR="00B912F5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: </w:t>
            </w:r>
            <w:r w:rsidR="00B912F5" w:rsidRPr="00286288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</w:p>
          <w:p w:rsidR="00B912F5" w:rsidRPr="00D87A33" w:rsidRDefault="00B912F5" w:rsidP="00B912F5">
            <w:pPr>
              <w:spacing w:after="200" w:line="276" w:lineRule="auto"/>
              <w:contextualSpacing/>
              <w:jc w:val="both"/>
              <w:rPr>
                <w:sz w:val="12"/>
                <w:lang w:val="es-ES_tradnl"/>
              </w:rPr>
            </w:pPr>
          </w:p>
          <w:p w:rsidR="00B912F5" w:rsidRDefault="00B912F5" w:rsidP="00B912F5">
            <w:pPr>
              <w:numPr>
                <w:ilvl w:val="0"/>
                <w:numId w:val="17"/>
              </w:numPr>
              <w:rPr>
                <w:rFonts w:ascii="Bookman Old Style" w:hAnsi="Bookman Old Style" w:cs="Arial"/>
                <w:sz w:val="20"/>
                <w:szCs w:val="20"/>
                <w:lang w:val="es-ES_tradnl"/>
              </w:rPr>
            </w:pPr>
            <w:r w:rsidRPr="007232A8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Nombre  del pasajero</w:t>
            </w:r>
          </w:p>
          <w:p w:rsidR="00B912F5" w:rsidRPr="007232A8" w:rsidRDefault="00B912F5" w:rsidP="00B912F5">
            <w:pPr>
              <w:numPr>
                <w:ilvl w:val="0"/>
                <w:numId w:val="17"/>
              </w:numPr>
              <w:rPr>
                <w:rFonts w:ascii="Bookman Old Style" w:hAnsi="Bookman Old Style" w:cs="Arial"/>
                <w:sz w:val="20"/>
                <w:szCs w:val="20"/>
                <w:lang w:val="es-ES_tradnl"/>
              </w:rPr>
            </w:pPr>
            <w:r w:rsidRPr="007232A8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Línea Aérea</w:t>
            </w:r>
          </w:p>
          <w:p w:rsidR="00B912F5" w:rsidRPr="007232A8" w:rsidRDefault="00B912F5" w:rsidP="00B912F5">
            <w:pPr>
              <w:numPr>
                <w:ilvl w:val="0"/>
                <w:numId w:val="17"/>
              </w:numPr>
              <w:rPr>
                <w:rFonts w:ascii="Bookman Old Style" w:hAnsi="Bookman Old Style" w:cs="Arial"/>
                <w:sz w:val="20"/>
                <w:szCs w:val="20"/>
                <w:lang w:val="es-ES_tradnl"/>
              </w:rPr>
            </w:pPr>
            <w:r w:rsidRPr="007232A8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Tramo</w:t>
            </w:r>
          </w:p>
          <w:p w:rsidR="00B912F5" w:rsidRPr="007232A8" w:rsidRDefault="00B912F5" w:rsidP="00B912F5">
            <w:pPr>
              <w:numPr>
                <w:ilvl w:val="0"/>
                <w:numId w:val="17"/>
              </w:numPr>
              <w:rPr>
                <w:rFonts w:ascii="Bookman Old Style" w:hAnsi="Bookman Old Style" w:cs="Arial"/>
                <w:sz w:val="20"/>
                <w:szCs w:val="20"/>
                <w:lang w:val="es-ES_tradnl"/>
              </w:rPr>
            </w:pPr>
            <w:r w:rsidRPr="007232A8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Número de nota de débito o similar (la nota de débito o similar debe ser adjuntada como respaldo).</w:t>
            </w:r>
          </w:p>
          <w:p w:rsidR="00B912F5" w:rsidRPr="007232A8" w:rsidRDefault="00B912F5" w:rsidP="00B912F5">
            <w:pPr>
              <w:numPr>
                <w:ilvl w:val="0"/>
                <w:numId w:val="17"/>
              </w:numPr>
              <w:rPr>
                <w:rFonts w:ascii="Bookman Old Style" w:hAnsi="Bookman Old Style" w:cs="Arial"/>
                <w:sz w:val="20"/>
                <w:szCs w:val="20"/>
                <w:lang w:val="es-ES_tradnl"/>
              </w:rPr>
            </w:pPr>
            <w:r w:rsidRPr="007232A8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Número de factura y/o número de ticket (la factura y/o ticket electrónico debe ser adjuntado)</w:t>
            </w:r>
          </w:p>
          <w:p w:rsidR="00B912F5" w:rsidRPr="007232A8" w:rsidRDefault="00B912F5" w:rsidP="00B912F5">
            <w:pPr>
              <w:numPr>
                <w:ilvl w:val="0"/>
                <w:numId w:val="17"/>
              </w:numPr>
              <w:rPr>
                <w:rFonts w:ascii="Bookman Old Style" w:hAnsi="Bookman Old Style" w:cs="Arial"/>
                <w:sz w:val="20"/>
                <w:szCs w:val="20"/>
                <w:lang w:val="es-ES_tradnl"/>
              </w:rPr>
            </w:pPr>
            <w:r w:rsidRPr="007232A8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Costo</w:t>
            </w:r>
          </w:p>
          <w:p w:rsidR="00B912F5" w:rsidRPr="007232A8" w:rsidRDefault="00B912F5" w:rsidP="00B912F5">
            <w:pPr>
              <w:numPr>
                <w:ilvl w:val="0"/>
                <w:numId w:val="17"/>
              </w:numPr>
              <w:rPr>
                <w:rFonts w:ascii="Bookman Old Style" w:hAnsi="Bookman Old Style" w:cs="Arial"/>
                <w:sz w:val="20"/>
                <w:szCs w:val="20"/>
                <w:lang w:val="es-ES_tradnl"/>
              </w:rPr>
            </w:pPr>
            <w:r w:rsidRPr="007232A8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Dicha planilla deberá establecer claramente si el boleto ha sido o no utilizado, caso contrario se devolverá la documentación respectiva previa coordinación con el encargado de pasajes del TSE. </w:t>
            </w:r>
          </w:p>
          <w:p w:rsidR="00B912F5" w:rsidRPr="007232A8" w:rsidRDefault="00B912F5" w:rsidP="00B912F5">
            <w:pPr>
              <w:numPr>
                <w:ilvl w:val="0"/>
                <w:numId w:val="17"/>
              </w:numPr>
              <w:rPr>
                <w:rFonts w:ascii="Bookman Old Style" w:hAnsi="Bookman Old Style" w:cs="Arial"/>
                <w:sz w:val="20"/>
                <w:szCs w:val="20"/>
                <w:lang w:val="es-ES_tradnl"/>
              </w:rPr>
            </w:pPr>
            <w:r w:rsidRPr="007232A8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Otros según considere la Agencia.</w:t>
            </w:r>
          </w:p>
          <w:p w:rsidR="00B912F5" w:rsidRPr="007232A8" w:rsidRDefault="00B912F5" w:rsidP="00B912F5">
            <w:pPr>
              <w:ind w:left="720"/>
              <w:rPr>
                <w:rFonts w:ascii="Bookman Old Style" w:hAnsi="Bookman Old Style"/>
                <w:sz w:val="20"/>
                <w:szCs w:val="20"/>
                <w:lang w:val="es-ES_tradnl"/>
              </w:rPr>
            </w:pPr>
          </w:p>
          <w:p w:rsidR="00286288" w:rsidRDefault="00D87A33" w:rsidP="00D87A33">
            <w:pPr>
              <w:pStyle w:val="Textoindependiente3"/>
              <w:shd w:val="clear" w:color="auto" w:fill="FFFFFF" w:themeFill="background1"/>
              <w:rPr>
                <w:rFonts w:ascii="Bookman Old Style" w:hAnsi="Bookman Old Style"/>
                <w:bCs/>
                <w:sz w:val="20"/>
              </w:rPr>
            </w:pPr>
            <w:r>
              <w:rPr>
                <w:rFonts w:ascii="Bookman Old Style" w:hAnsi="Bookman Old Style"/>
                <w:bCs/>
                <w:sz w:val="20"/>
              </w:rPr>
              <w:t>La mencionada documentación d</w:t>
            </w:r>
            <w:r w:rsidRPr="00286288">
              <w:rPr>
                <w:rFonts w:ascii="Bookman Old Style" w:hAnsi="Bookman Old Style"/>
                <w:bCs/>
                <w:sz w:val="20"/>
              </w:rPr>
              <w:t>ebe</w:t>
            </w:r>
            <w:r>
              <w:rPr>
                <w:rFonts w:ascii="Bookman Old Style" w:hAnsi="Bookman Old Style"/>
                <w:bCs/>
                <w:sz w:val="20"/>
              </w:rPr>
              <w:t>rá</w:t>
            </w:r>
            <w:r w:rsidR="00B912F5" w:rsidRPr="00286288">
              <w:rPr>
                <w:rFonts w:ascii="Bookman Old Style" w:hAnsi="Bookman Old Style"/>
                <w:bCs/>
                <w:sz w:val="20"/>
              </w:rPr>
              <w:t xml:space="preserve"> ser </w:t>
            </w:r>
            <w:r w:rsidRPr="00286288">
              <w:rPr>
                <w:rFonts w:ascii="Bookman Old Style" w:hAnsi="Bookman Old Style"/>
                <w:bCs/>
                <w:sz w:val="20"/>
              </w:rPr>
              <w:t>ingresada</w:t>
            </w:r>
            <w:r w:rsidR="00B912F5" w:rsidRPr="00286288">
              <w:rPr>
                <w:rFonts w:ascii="Bookman Old Style" w:hAnsi="Bookman Old Style"/>
                <w:bCs/>
                <w:sz w:val="20"/>
              </w:rPr>
              <w:t xml:space="preserve"> a través de la Unidad de Correspondencia</w:t>
            </w:r>
            <w:r w:rsidR="00B912F5">
              <w:rPr>
                <w:rFonts w:ascii="Bookman Old Style" w:hAnsi="Bookman Old Style"/>
                <w:bCs/>
                <w:sz w:val="20"/>
              </w:rPr>
              <w:t xml:space="preserve"> del TSE</w:t>
            </w:r>
            <w:r w:rsidR="00B912F5" w:rsidRPr="00286288">
              <w:rPr>
                <w:rFonts w:ascii="Bookman Old Style" w:hAnsi="Bookman Old Style"/>
                <w:bCs/>
                <w:sz w:val="20"/>
              </w:rPr>
              <w:t>.</w:t>
            </w:r>
          </w:p>
          <w:p w:rsidR="00D87A33" w:rsidRPr="00286288" w:rsidRDefault="00D87A33" w:rsidP="00D87A33">
            <w:pPr>
              <w:pStyle w:val="Textoindependiente3"/>
              <w:shd w:val="clear" w:color="auto" w:fill="FFFFFF" w:themeFill="background1"/>
              <w:rPr>
                <w:b/>
                <w:bCs/>
                <w:sz w:val="12"/>
              </w:rPr>
            </w:pPr>
          </w:p>
        </w:tc>
      </w:tr>
    </w:tbl>
    <w:p w:rsidR="00B112C8" w:rsidRPr="00736756" w:rsidRDefault="00B112C8" w:rsidP="00286288">
      <w:pPr>
        <w:shd w:val="clear" w:color="auto" w:fill="FFFFFF" w:themeFill="background1"/>
        <w:ind w:left="-36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B112C8" w:rsidRPr="00514A5B" w:rsidRDefault="00B112C8" w:rsidP="00B112C8">
      <w:pPr>
        <w:ind w:left="-360"/>
        <w:jc w:val="both"/>
        <w:rPr>
          <w:rFonts w:ascii="Arial" w:hAnsi="Arial"/>
          <w:sz w:val="20"/>
          <w:lang w:val="es-ES_tradnl"/>
        </w:rPr>
      </w:pPr>
    </w:p>
    <w:p w:rsidR="0066722D" w:rsidRDefault="0066722D" w:rsidP="00B112C8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2369B5" w:rsidRDefault="002369B5" w:rsidP="00B112C8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B912F5" w:rsidRDefault="00B912F5" w:rsidP="00B112C8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B912F5" w:rsidRDefault="00B912F5" w:rsidP="00B112C8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B912F5" w:rsidRDefault="00B912F5" w:rsidP="00B112C8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B279F6" w:rsidRDefault="00B279F6" w:rsidP="00B112C8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07AE0" w:rsidRPr="002124C1" w:rsidRDefault="00707AE0" w:rsidP="00AF3D73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AF3D73" w:rsidRDefault="00AF3D73" w:rsidP="00AF3D73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    </w:t>
      </w:r>
      <w:r w:rsidRPr="00C2644F">
        <w:rPr>
          <w:rFonts w:ascii="Arial" w:hAnsi="Arial" w:cs="Arial"/>
          <w:b/>
          <w:sz w:val="20"/>
          <w:szCs w:val="20"/>
          <w:lang w:val="es-ES_tradnl"/>
        </w:rPr>
        <w:t>Solicitado por</w:t>
      </w:r>
      <w:r>
        <w:rPr>
          <w:rFonts w:ascii="Arial" w:hAnsi="Arial" w:cs="Arial"/>
          <w:sz w:val="20"/>
          <w:szCs w:val="20"/>
          <w:lang w:val="es-ES_tradnl"/>
        </w:rPr>
        <w:t>: (Unidad técnica solicitante)</w:t>
      </w:r>
    </w:p>
    <w:p w:rsidR="00AF3D73" w:rsidRDefault="00AF3D73" w:rsidP="00AF3D73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    Firma y aclaración de firma</w:t>
      </w:r>
    </w:p>
    <w:p w:rsidR="00AF3D73" w:rsidRDefault="00AF3D73" w:rsidP="00AF3D73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AF3D73" w:rsidRDefault="00AF3D73" w:rsidP="00AF3D73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AF3D73" w:rsidRDefault="00AF3D73" w:rsidP="00AF3D73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B912F5" w:rsidRDefault="00B912F5" w:rsidP="00AF3D73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B912F5" w:rsidRDefault="00B912F5" w:rsidP="00AF3D73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2124C1" w:rsidRDefault="002124C1" w:rsidP="00AF3D73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2369B5" w:rsidRDefault="002369B5" w:rsidP="00AF3D73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AF3D73" w:rsidRDefault="00AF3D73" w:rsidP="00AF3D73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AF3D73" w:rsidRDefault="00AF3D73" w:rsidP="00AF3D73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  <w:r w:rsidRPr="00C2644F">
        <w:rPr>
          <w:rFonts w:ascii="Arial" w:hAnsi="Arial" w:cs="Arial"/>
          <w:b/>
          <w:sz w:val="20"/>
          <w:szCs w:val="20"/>
          <w:lang w:val="es-ES_tradnl"/>
        </w:rPr>
        <w:t xml:space="preserve">   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C2644F">
        <w:rPr>
          <w:rFonts w:ascii="Arial" w:hAnsi="Arial" w:cs="Arial"/>
          <w:b/>
          <w:sz w:val="20"/>
          <w:szCs w:val="20"/>
          <w:lang w:val="es-ES_tradnl"/>
        </w:rPr>
        <w:t>Aprobado por</w:t>
      </w:r>
      <w:r>
        <w:rPr>
          <w:rFonts w:ascii="Arial" w:hAnsi="Arial" w:cs="Arial"/>
          <w:sz w:val="20"/>
          <w:szCs w:val="20"/>
          <w:lang w:val="es-ES_tradnl"/>
        </w:rPr>
        <w:t>: (Dirección Nacional solicitante)</w:t>
      </w:r>
    </w:p>
    <w:p w:rsidR="005B28AA" w:rsidRPr="00156818" w:rsidRDefault="00AF3D73" w:rsidP="00FB0260">
      <w:pPr>
        <w:ind w:left="-360"/>
        <w:jc w:val="both"/>
        <w:rPr>
          <w:rFonts w:ascii="Arial" w:hAnsi="Arial"/>
          <w:sz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   Firma y Aclaración de firma</w:t>
      </w:r>
    </w:p>
    <w:sectPr w:rsidR="005B28AA" w:rsidRPr="00156818" w:rsidSect="00382178">
      <w:headerReference w:type="default" r:id="rId16"/>
      <w:footerReference w:type="default" r:id="rId17"/>
      <w:pgSz w:w="11907" w:h="16839" w:code="9"/>
      <w:pgMar w:top="1310" w:right="722" w:bottom="851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6C4" w:rsidRDefault="00E726C4">
      <w:r>
        <w:separator/>
      </w:r>
    </w:p>
  </w:endnote>
  <w:endnote w:type="continuationSeparator" w:id="0">
    <w:p w:rsidR="00E726C4" w:rsidRDefault="00E726C4">
      <w:r>
        <w:continuationSeparator/>
      </w:r>
    </w:p>
  </w:endnote>
  <w:endnote w:type="continuationNotice" w:id="1">
    <w:p w:rsidR="00E726C4" w:rsidRDefault="00E726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7A" w:rsidRDefault="00D1337A">
    <w:pPr>
      <w:pStyle w:val="Piedepgina"/>
      <w:framePr w:wrap="around" w:vAnchor="text" w:hAnchor="margin" w:xAlign="right" w:y="1"/>
      <w:rPr>
        <w:rStyle w:val="Nmerodepgina"/>
        <w:sz w:val="16"/>
      </w:rPr>
    </w:pPr>
  </w:p>
  <w:p w:rsidR="00BB2A98" w:rsidRDefault="00D1337A" w:rsidP="00BB2A98">
    <w:pPr>
      <w:pStyle w:val="Piedepgina"/>
      <w:tabs>
        <w:tab w:val="clear" w:pos="8838"/>
        <w:tab w:val="left" w:pos="3160"/>
        <w:tab w:val="right" w:pos="9000"/>
      </w:tabs>
      <w:ind w:right="360"/>
    </w:pPr>
    <w:r>
      <w:t xml:space="preserve">               </w:t>
    </w:r>
    <w:r>
      <w:tab/>
    </w:r>
  </w:p>
  <w:p w:rsidR="00BB2A98" w:rsidRDefault="00BB2A98" w:rsidP="00BB2A98">
    <w:pPr>
      <w:pStyle w:val="Piedepgina"/>
      <w:tabs>
        <w:tab w:val="clear" w:pos="8838"/>
        <w:tab w:val="left" w:pos="3160"/>
        <w:tab w:val="right" w:pos="9000"/>
      </w:tabs>
      <w:ind w:right="360"/>
    </w:pPr>
  </w:p>
  <w:p w:rsidR="00BB2A98" w:rsidRDefault="00BB2A98" w:rsidP="00BB2A98">
    <w:pPr>
      <w:pStyle w:val="Piedepgina"/>
      <w:tabs>
        <w:tab w:val="clear" w:pos="8838"/>
        <w:tab w:val="left" w:pos="3160"/>
        <w:tab w:val="right" w:pos="9000"/>
      </w:tabs>
      <w:ind w:right="360"/>
    </w:pPr>
  </w:p>
  <w:p w:rsidR="00D1337A" w:rsidRDefault="00BB2A98" w:rsidP="00BB2A98">
    <w:pPr>
      <w:pStyle w:val="Piedepgina"/>
      <w:tabs>
        <w:tab w:val="clear" w:pos="8838"/>
        <w:tab w:val="left" w:pos="3160"/>
        <w:tab w:val="right" w:pos="9000"/>
      </w:tabs>
      <w:ind w:right="360"/>
      <w:rPr>
        <w:rFonts w:ascii="Arial" w:hAnsi="Arial" w:cs="Arial"/>
        <w:color w:val="808080"/>
        <w:sz w:val="8"/>
        <w:u w:val="single"/>
      </w:rPr>
    </w:pPr>
    <w:r>
      <w:tab/>
    </w:r>
    <w:r w:rsidR="00D1337A">
      <w:rPr>
        <w:rFonts w:ascii="Arial" w:hAnsi="Arial" w:cs="Arial"/>
        <w:color w:val="808080"/>
        <w:sz w:val="8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6C4" w:rsidRDefault="00E726C4">
      <w:r>
        <w:separator/>
      </w:r>
    </w:p>
  </w:footnote>
  <w:footnote w:type="continuationSeparator" w:id="0">
    <w:p w:rsidR="00E726C4" w:rsidRDefault="00E726C4">
      <w:r>
        <w:continuationSeparator/>
      </w:r>
    </w:p>
  </w:footnote>
  <w:footnote w:type="continuationNotice" w:id="1">
    <w:p w:rsidR="00E726C4" w:rsidRDefault="00E726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7A" w:rsidRDefault="00D1337A" w:rsidP="00503231">
    <w:pPr>
      <w:pStyle w:val="Encabezado"/>
      <w:ind w:left="-360"/>
      <w:jc w:val="center"/>
    </w:pPr>
  </w:p>
  <w:p w:rsidR="00D1337A" w:rsidRDefault="00D1337A">
    <w:pPr>
      <w:pStyle w:val="Encabezado"/>
      <w:jc w:val="center"/>
    </w:pPr>
  </w:p>
  <w:p w:rsidR="00D1337A" w:rsidRDefault="000F2272" w:rsidP="000F2272">
    <w:pPr>
      <w:pStyle w:val="Encabezado"/>
      <w:jc w:val="center"/>
    </w:pPr>
    <w:r w:rsidRPr="00063755">
      <w:rPr>
        <w:noProof/>
        <w:sz w:val="16"/>
        <w:lang w:val="es-BO" w:eastAsia="es-BO"/>
      </w:rPr>
      <w:drawing>
        <wp:inline distT="0" distB="0" distL="0" distR="0" wp14:anchorId="09926DFD" wp14:editId="51922D3F">
          <wp:extent cx="1978572" cy="630791"/>
          <wp:effectExtent l="0" t="0" r="317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773" cy="639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1337A" w:rsidRDefault="00D1337A">
    <w:pPr>
      <w:pStyle w:val="Encabezado"/>
      <w:jc w:val="center"/>
      <w:rPr>
        <w:sz w:val="16"/>
      </w:rPr>
    </w:pPr>
    <w:r>
      <w:rPr>
        <w:sz w:val="16"/>
      </w:rPr>
      <w:t xml:space="preserve">           </w:t>
    </w:r>
  </w:p>
  <w:p w:rsidR="00D1337A" w:rsidRDefault="00D1337A">
    <w:pPr>
      <w:pStyle w:val="Encabezado"/>
      <w:jc w:val="center"/>
      <w:rPr>
        <w:sz w:val="4"/>
      </w:rPr>
    </w:pPr>
  </w:p>
  <w:p w:rsidR="00D1337A" w:rsidRDefault="00D1337A">
    <w:pPr>
      <w:pStyle w:val="Encabezado"/>
      <w:jc w:val="center"/>
      <w:rPr>
        <w:rFonts w:ascii="Arial" w:hAnsi="Arial" w:cs="Arial"/>
        <w:bCs/>
        <w:iCs/>
        <w:color w:val="808080"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F4343B"/>
    <w:multiLevelType w:val="multilevel"/>
    <w:tmpl w:val="65CE17E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420" w:hanging="360"/>
      </w:pPr>
    </w:lvl>
    <w:lvl w:ilvl="2">
      <w:start w:val="1"/>
      <w:numFmt w:val="decimal"/>
      <w:isLgl/>
      <w:lvlText w:val="%1.%2.%3."/>
      <w:lvlJc w:val="left"/>
      <w:pPr>
        <w:ind w:left="780" w:hanging="720"/>
      </w:pPr>
    </w:lvl>
    <w:lvl w:ilvl="3">
      <w:start w:val="1"/>
      <w:numFmt w:val="decimal"/>
      <w:isLgl/>
      <w:lvlText w:val="%1.%2.%3.%4."/>
      <w:lvlJc w:val="left"/>
      <w:pPr>
        <w:ind w:left="780" w:hanging="720"/>
      </w:pPr>
    </w:lvl>
    <w:lvl w:ilvl="4">
      <w:start w:val="1"/>
      <w:numFmt w:val="decimal"/>
      <w:isLgl/>
      <w:lvlText w:val="%1.%2.%3.%4.%5."/>
      <w:lvlJc w:val="left"/>
      <w:pPr>
        <w:ind w:left="1140" w:hanging="1080"/>
      </w:pPr>
    </w:lvl>
    <w:lvl w:ilvl="5">
      <w:start w:val="1"/>
      <w:numFmt w:val="decimal"/>
      <w:isLgl/>
      <w:lvlText w:val="%1.%2.%3.%4.%5.%6."/>
      <w:lvlJc w:val="left"/>
      <w:pPr>
        <w:ind w:left="1140" w:hanging="1080"/>
      </w:pPr>
    </w:lvl>
    <w:lvl w:ilvl="6">
      <w:start w:val="1"/>
      <w:numFmt w:val="decimal"/>
      <w:isLgl/>
      <w:lvlText w:val="%1.%2.%3.%4.%5.%6.%7."/>
      <w:lvlJc w:val="left"/>
      <w:pPr>
        <w:ind w:left="1500" w:hanging="1440"/>
      </w:p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</w:lvl>
  </w:abstractNum>
  <w:abstractNum w:abstractNumId="2">
    <w:nsid w:val="04B824B0"/>
    <w:multiLevelType w:val="hybridMultilevel"/>
    <w:tmpl w:val="498ACA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4737A"/>
    <w:multiLevelType w:val="hybridMultilevel"/>
    <w:tmpl w:val="A63CDCA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D17C8"/>
    <w:multiLevelType w:val="hybridMultilevel"/>
    <w:tmpl w:val="1B76F502"/>
    <w:lvl w:ilvl="0" w:tplc="9904A4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D696F"/>
    <w:multiLevelType w:val="hybridMultilevel"/>
    <w:tmpl w:val="A4AE45DA"/>
    <w:lvl w:ilvl="0" w:tplc="400A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F65FD"/>
    <w:multiLevelType w:val="hybridMultilevel"/>
    <w:tmpl w:val="2EC0E196"/>
    <w:lvl w:ilvl="0" w:tplc="40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A57CEA"/>
    <w:multiLevelType w:val="hybridMultilevel"/>
    <w:tmpl w:val="5F362472"/>
    <w:lvl w:ilvl="0" w:tplc="9904A4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925B3F"/>
    <w:multiLevelType w:val="hybridMultilevel"/>
    <w:tmpl w:val="BEAEA9FA"/>
    <w:lvl w:ilvl="0" w:tplc="40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1C756127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19772A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2106F"/>
    <w:multiLevelType w:val="hybridMultilevel"/>
    <w:tmpl w:val="5434C8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3412CE"/>
    <w:multiLevelType w:val="hybridMultilevel"/>
    <w:tmpl w:val="1C7073B2"/>
    <w:lvl w:ilvl="0" w:tplc="4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3C2481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>
    <w:nsid w:val="3B142B06"/>
    <w:multiLevelType w:val="hybridMultilevel"/>
    <w:tmpl w:val="F60A95C2"/>
    <w:lvl w:ilvl="0" w:tplc="C292D3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4381E"/>
    <w:multiLevelType w:val="hybridMultilevel"/>
    <w:tmpl w:val="F384B80A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975B89"/>
    <w:multiLevelType w:val="hybridMultilevel"/>
    <w:tmpl w:val="BD784A40"/>
    <w:lvl w:ilvl="0" w:tplc="400A000D">
      <w:start w:val="1"/>
      <w:numFmt w:val="bullet"/>
      <w:lvlText w:val=""/>
      <w:lvlJc w:val="left"/>
      <w:pPr>
        <w:ind w:left="115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3">
    <w:nsid w:val="43BC3918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41474C"/>
    <w:multiLevelType w:val="hybridMultilevel"/>
    <w:tmpl w:val="AF3AE75C"/>
    <w:lvl w:ilvl="0" w:tplc="1572F67E">
      <w:start w:val="1"/>
      <w:numFmt w:val="decimal"/>
      <w:lvlText w:val="%1."/>
      <w:lvlJc w:val="left"/>
      <w:pPr>
        <w:tabs>
          <w:tab w:val="num" w:pos="1134"/>
        </w:tabs>
        <w:ind w:left="1134" w:hanging="708"/>
      </w:pPr>
      <w:rPr>
        <w:rFonts w:hint="default"/>
        <w:b/>
      </w:rPr>
    </w:lvl>
    <w:lvl w:ilvl="1" w:tplc="14EC1190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/>
        <w:sz w:val="18"/>
        <w:szCs w:val="18"/>
      </w:rPr>
    </w:lvl>
    <w:lvl w:ilvl="2" w:tplc="0968289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A021B2">
      <w:start w:val="1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Times New Roman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C0642C"/>
    <w:multiLevelType w:val="hybridMultilevel"/>
    <w:tmpl w:val="9B6858C4"/>
    <w:lvl w:ilvl="0" w:tplc="ED0C9A6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325D3"/>
    <w:multiLevelType w:val="hybridMultilevel"/>
    <w:tmpl w:val="5EDCB360"/>
    <w:lvl w:ilvl="0" w:tplc="057E072C">
      <w:start w:val="3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0">
    <w:nsid w:val="59B11DFF"/>
    <w:multiLevelType w:val="hybridMultilevel"/>
    <w:tmpl w:val="FD729D3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76113D67"/>
    <w:multiLevelType w:val="hybridMultilevel"/>
    <w:tmpl w:val="7422BDDC"/>
    <w:lvl w:ilvl="0" w:tplc="25DE219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5717B4"/>
    <w:multiLevelType w:val="hybridMultilevel"/>
    <w:tmpl w:val="1ADCB2D4"/>
    <w:lvl w:ilvl="0" w:tplc="A26A47A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2B3EF8"/>
    <w:multiLevelType w:val="hybridMultilevel"/>
    <w:tmpl w:val="BE9871FC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31"/>
  </w:num>
  <w:num w:numId="4">
    <w:abstractNumId w:val="29"/>
  </w:num>
  <w:num w:numId="5">
    <w:abstractNumId w:val="9"/>
  </w:num>
  <w:num w:numId="6">
    <w:abstractNumId w:val="20"/>
  </w:num>
  <w:num w:numId="7">
    <w:abstractNumId w:val="8"/>
  </w:num>
  <w:num w:numId="8">
    <w:abstractNumId w:val="13"/>
  </w:num>
  <w:num w:numId="9">
    <w:abstractNumId w:val="28"/>
  </w:num>
  <w:num w:numId="10">
    <w:abstractNumId w:val="32"/>
  </w:num>
  <w:num w:numId="11">
    <w:abstractNumId w:val="6"/>
  </w:num>
  <w:num w:numId="12">
    <w:abstractNumId w:val="27"/>
  </w:num>
  <w:num w:numId="13">
    <w:abstractNumId w:val="2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"/>
  </w:num>
  <w:num w:numId="18">
    <w:abstractNumId w:val="1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7"/>
  </w:num>
  <w:num w:numId="22">
    <w:abstractNumId w:val="2"/>
  </w:num>
  <w:num w:numId="23">
    <w:abstractNumId w:val="17"/>
  </w:num>
  <w:num w:numId="24">
    <w:abstractNumId w:val="22"/>
  </w:num>
  <w:num w:numId="25">
    <w:abstractNumId w:val="33"/>
  </w:num>
  <w:num w:numId="26">
    <w:abstractNumId w:val="5"/>
  </w:num>
  <w:num w:numId="27">
    <w:abstractNumId w:val="34"/>
  </w:num>
  <w:num w:numId="28">
    <w:abstractNumId w:val="30"/>
  </w:num>
  <w:num w:numId="29">
    <w:abstractNumId w:val="24"/>
  </w:num>
  <w:num w:numId="30">
    <w:abstractNumId w:val="16"/>
  </w:num>
  <w:num w:numId="31">
    <w:abstractNumId w:val="25"/>
  </w:num>
  <w:num w:numId="32">
    <w:abstractNumId w:val="14"/>
  </w:num>
  <w:num w:numId="33">
    <w:abstractNumId w:val="23"/>
  </w:num>
  <w:num w:numId="34">
    <w:abstractNumId w:val="2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B6"/>
    <w:rsid w:val="00002933"/>
    <w:rsid w:val="000162A9"/>
    <w:rsid w:val="00025837"/>
    <w:rsid w:val="00032B6C"/>
    <w:rsid w:val="000803DA"/>
    <w:rsid w:val="00081409"/>
    <w:rsid w:val="00092BF8"/>
    <w:rsid w:val="00096167"/>
    <w:rsid w:val="000A1F42"/>
    <w:rsid w:val="000B6513"/>
    <w:rsid w:val="000C6EF4"/>
    <w:rsid w:val="000D0634"/>
    <w:rsid w:val="000D143A"/>
    <w:rsid w:val="000E3720"/>
    <w:rsid w:val="000E6692"/>
    <w:rsid w:val="000F135C"/>
    <w:rsid w:val="000F2272"/>
    <w:rsid w:val="000F3E4E"/>
    <w:rsid w:val="00130ACC"/>
    <w:rsid w:val="00156818"/>
    <w:rsid w:val="0016619D"/>
    <w:rsid w:val="00174557"/>
    <w:rsid w:val="001833B6"/>
    <w:rsid w:val="00184633"/>
    <w:rsid w:val="00184E8A"/>
    <w:rsid w:val="00187C52"/>
    <w:rsid w:val="001903F1"/>
    <w:rsid w:val="00192130"/>
    <w:rsid w:val="00196E75"/>
    <w:rsid w:val="001A60AE"/>
    <w:rsid w:val="001A6ED2"/>
    <w:rsid w:val="001C56BE"/>
    <w:rsid w:val="001F15F3"/>
    <w:rsid w:val="001F4B97"/>
    <w:rsid w:val="001F50B0"/>
    <w:rsid w:val="002124C1"/>
    <w:rsid w:val="00214E6A"/>
    <w:rsid w:val="002163E0"/>
    <w:rsid w:val="00220ACE"/>
    <w:rsid w:val="002225FA"/>
    <w:rsid w:val="00227D31"/>
    <w:rsid w:val="00231DCF"/>
    <w:rsid w:val="002369B5"/>
    <w:rsid w:val="00247440"/>
    <w:rsid w:val="00255135"/>
    <w:rsid w:val="0026301B"/>
    <w:rsid w:val="00263DB5"/>
    <w:rsid w:val="0026664F"/>
    <w:rsid w:val="00267F82"/>
    <w:rsid w:val="002705B1"/>
    <w:rsid w:val="00285351"/>
    <w:rsid w:val="00286288"/>
    <w:rsid w:val="00292EAC"/>
    <w:rsid w:val="002B10E1"/>
    <w:rsid w:val="002B1F8E"/>
    <w:rsid w:val="002B22E3"/>
    <w:rsid w:val="002C3C38"/>
    <w:rsid w:val="002E76D3"/>
    <w:rsid w:val="002F1D32"/>
    <w:rsid w:val="00300198"/>
    <w:rsid w:val="00312010"/>
    <w:rsid w:val="00322552"/>
    <w:rsid w:val="00322ADA"/>
    <w:rsid w:val="00324AEA"/>
    <w:rsid w:val="00330893"/>
    <w:rsid w:val="0034144B"/>
    <w:rsid w:val="00354D28"/>
    <w:rsid w:val="0035722A"/>
    <w:rsid w:val="003576F0"/>
    <w:rsid w:val="003723C6"/>
    <w:rsid w:val="00380E30"/>
    <w:rsid w:val="00382178"/>
    <w:rsid w:val="003853E1"/>
    <w:rsid w:val="00392C4D"/>
    <w:rsid w:val="003A167C"/>
    <w:rsid w:val="003A69B3"/>
    <w:rsid w:val="003B04D4"/>
    <w:rsid w:val="003B072C"/>
    <w:rsid w:val="003C1A7F"/>
    <w:rsid w:val="003C5F0F"/>
    <w:rsid w:val="003D2FE7"/>
    <w:rsid w:val="003D7CD6"/>
    <w:rsid w:val="003E5E99"/>
    <w:rsid w:val="003F2BB3"/>
    <w:rsid w:val="003F4358"/>
    <w:rsid w:val="003F4DD6"/>
    <w:rsid w:val="003F5B55"/>
    <w:rsid w:val="00406865"/>
    <w:rsid w:val="00420689"/>
    <w:rsid w:val="00423F4E"/>
    <w:rsid w:val="004373B5"/>
    <w:rsid w:val="00462B38"/>
    <w:rsid w:val="0046413E"/>
    <w:rsid w:val="0046575B"/>
    <w:rsid w:val="004901CD"/>
    <w:rsid w:val="0049399F"/>
    <w:rsid w:val="00494035"/>
    <w:rsid w:val="004A1382"/>
    <w:rsid w:val="004A5DF2"/>
    <w:rsid w:val="004C62FE"/>
    <w:rsid w:val="004D2C15"/>
    <w:rsid w:val="004D2D34"/>
    <w:rsid w:val="004F4619"/>
    <w:rsid w:val="00502A23"/>
    <w:rsid w:val="00503231"/>
    <w:rsid w:val="005059C4"/>
    <w:rsid w:val="00514A5B"/>
    <w:rsid w:val="005212B0"/>
    <w:rsid w:val="005268B1"/>
    <w:rsid w:val="0054412E"/>
    <w:rsid w:val="005460A2"/>
    <w:rsid w:val="00583ADC"/>
    <w:rsid w:val="00584A29"/>
    <w:rsid w:val="00594A99"/>
    <w:rsid w:val="0059545C"/>
    <w:rsid w:val="005B28AA"/>
    <w:rsid w:val="005C678B"/>
    <w:rsid w:val="005D47FE"/>
    <w:rsid w:val="005D5E3E"/>
    <w:rsid w:val="005D7961"/>
    <w:rsid w:val="006060A2"/>
    <w:rsid w:val="0060722E"/>
    <w:rsid w:val="00607A84"/>
    <w:rsid w:val="00616A19"/>
    <w:rsid w:val="006170D7"/>
    <w:rsid w:val="00617109"/>
    <w:rsid w:val="00617DC0"/>
    <w:rsid w:val="006263F2"/>
    <w:rsid w:val="0063051E"/>
    <w:rsid w:val="006307EF"/>
    <w:rsid w:val="00635956"/>
    <w:rsid w:val="00643914"/>
    <w:rsid w:val="006476FC"/>
    <w:rsid w:val="00650461"/>
    <w:rsid w:val="00651D9A"/>
    <w:rsid w:val="00665162"/>
    <w:rsid w:val="0066722D"/>
    <w:rsid w:val="006721AC"/>
    <w:rsid w:val="006B6B9B"/>
    <w:rsid w:val="006D0ECA"/>
    <w:rsid w:val="006F777D"/>
    <w:rsid w:val="00707AE0"/>
    <w:rsid w:val="0071003C"/>
    <w:rsid w:val="007114D5"/>
    <w:rsid w:val="007232A8"/>
    <w:rsid w:val="00736756"/>
    <w:rsid w:val="00745FED"/>
    <w:rsid w:val="00753700"/>
    <w:rsid w:val="007619F6"/>
    <w:rsid w:val="00783159"/>
    <w:rsid w:val="00794AA6"/>
    <w:rsid w:val="007C3708"/>
    <w:rsid w:val="007E2C23"/>
    <w:rsid w:val="008067B1"/>
    <w:rsid w:val="008145FB"/>
    <w:rsid w:val="00831D4C"/>
    <w:rsid w:val="008501D6"/>
    <w:rsid w:val="00850FEE"/>
    <w:rsid w:val="008602D9"/>
    <w:rsid w:val="00873E6A"/>
    <w:rsid w:val="00875A68"/>
    <w:rsid w:val="008821ED"/>
    <w:rsid w:val="008A15B6"/>
    <w:rsid w:val="008A2947"/>
    <w:rsid w:val="008A31F9"/>
    <w:rsid w:val="008A5E99"/>
    <w:rsid w:val="008B62FF"/>
    <w:rsid w:val="008C0181"/>
    <w:rsid w:val="008C2E5A"/>
    <w:rsid w:val="008C51F8"/>
    <w:rsid w:val="008D1D88"/>
    <w:rsid w:val="008D5979"/>
    <w:rsid w:val="008E3CC1"/>
    <w:rsid w:val="009019DB"/>
    <w:rsid w:val="00905223"/>
    <w:rsid w:val="0092718B"/>
    <w:rsid w:val="009326BF"/>
    <w:rsid w:val="00933B5B"/>
    <w:rsid w:val="009365F0"/>
    <w:rsid w:val="00952371"/>
    <w:rsid w:val="00970F27"/>
    <w:rsid w:val="00971655"/>
    <w:rsid w:val="00973786"/>
    <w:rsid w:val="0097379E"/>
    <w:rsid w:val="009779B4"/>
    <w:rsid w:val="0098337E"/>
    <w:rsid w:val="00984DCD"/>
    <w:rsid w:val="009B4E75"/>
    <w:rsid w:val="009B77E4"/>
    <w:rsid w:val="009D2361"/>
    <w:rsid w:val="009D3274"/>
    <w:rsid w:val="009D3980"/>
    <w:rsid w:val="009E5ECE"/>
    <w:rsid w:val="009E7102"/>
    <w:rsid w:val="009F7764"/>
    <w:rsid w:val="00A05F80"/>
    <w:rsid w:val="00A14C06"/>
    <w:rsid w:val="00A25513"/>
    <w:rsid w:val="00A277B5"/>
    <w:rsid w:val="00A34130"/>
    <w:rsid w:val="00A45175"/>
    <w:rsid w:val="00A45902"/>
    <w:rsid w:val="00A51BE0"/>
    <w:rsid w:val="00A552E4"/>
    <w:rsid w:val="00A7069B"/>
    <w:rsid w:val="00A74139"/>
    <w:rsid w:val="00A847A0"/>
    <w:rsid w:val="00A95844"/>
    <w:rsid w:val="00AA4DDB"/>
    <w:rsid w:val="00AA4FE4"/>
    <w:rsid w:val="00AB2BC4"/>
    <w:rsid w:val="00AB5004"/>
    <w:rsid w:val="00AB70B6"/>
    <w:rsid w:val="00AC16F4"/>
    <w:rsid w:val="00AD04BA"/>
    <w:rsid w:val="00AD60AB"/>
    <w:rsid w:val="00AE428A"/>
    <w:rsid w:val="00AE4A6B"/>
    <w:rsid w:val="00AE5570"/>
    <w:rsid w:val="00AF2118"/>
    <w:rsid w:val="00AF3D73"/>
    <w:rsid w:val="00B112C8"/>
    <w:rsid w:val="00B279F6"/>
    <w:rsid w:val="00B30D9C"/>
    <w:rsid w:val="00B33562"/>
    <w:rsid w:val="00B35A9A"/>
    <w:rsid w:val="00B363D9"/>
    <w:rsid w:val="00B36C51"/>
    <w:rsid w:val="00B4235A"/>
    <w:rsid w:val="00B55B52"/>
    <w:rsid w:val="00B55F9B"/>
    <w:rsid w:val="00B57DAB"/>
    <w:rsid w:val="00B60767"/>
    <w:rsid w:val="00B730A4"/>
    <w:rsid w:val="00B8568B"/>
    <w:rsid w:val="00B912F5"/>
    <w:rsid w:val="00B92E0E"/>
    <w:rsid w:val="00B95F81"/>
    <w:rsid w:val="00BA4E55"/>
    <w:rsid w:val="00BB13BB"/>
    <w:rsid w:val="00BB2A98"/>
    <w:rsid w:val="00BD502A"/>
    <w:rsid w:val="00BE4538"/>
    <w:rsid w:val="00BE55F7"/>
    <w:rsid w:val="00BF023D"/>
    <w:rsid w:val="00BF110B"/>
    <w:rsid w:val="00BF68F4"/>
    <w:rsid w:val="00C0025E"/>
    <w:rsid w:val="00C013A0"/>
    <w:rsid w:val="00C25870"/>
    <w:rsid w:val="00C40F9D"/>
    <w:rsid w:val="00C45453"/>
    <w:rsid w:val="00C63922"/>
    <w:rsid w:val="00C744D0"/>
    <w:rsid w:val="00C8319C"/>
    <w:rsid w:val="00C86FF1"/>
    <w:rsid w:val="00C95D90"/>
    <w:rsid w:val="00CA6AE7"/>
    <w:rsid w:val="00CB27B5"/>
    <w:rsid w:val="00CB28A4"/>
    <w:rsid w:val="00CC3F61"/>
    <w:rsid w:val="00CD6B09"/>
    <w:rsid w:val="00CE6D22"/>
    <w:rsid w:val="00CE7878"/>
    <w:rsid w:val="00CF0A8C"/>
    <w:rsid w:val="00CF0B99"/>
    <w:rsid w:val="00D02458"/>
    <w:rsid w:val="00D03B76"/>
    <w:rsid w:val="00D0462B"/>
    <w:rsid w:val="00D0627D"/>
    <w:rsid w:val="00D1337A"/>
    <w:rsid w:val="00D22B44"/>
    <w:rsid w:val="00D44CFC"/>
    <w:rsid w:val="00D54567"/>
    <w:rsid w:val="00D573D8"/>
    <w:rsid w:val="00D573FC"/>
    <w:rsid w:val="00D62361"/>
    <w:rsid w:val="00D63E2F"/>
    <w:rsid w:val="00D77151"/>
    <w:rsid w:val="00D82CA7"/>
    <w:rsid w:val="00D83B13"/>
    <w:rsid w:val="00D87A33"/>
    <w:rsid w:val="00DA3CDA"/>
    <w:rsid w:val="00DA4A5B"/>
    <w:rsid w:val="00DC154D"/>
    <w:rsid w:val="00DC75BF"/>
    <w:rsid w:val="00DE2065"/>
    <w:rsid w:val="00DF6FFD"/>
    <w:rsid w:val="00E0206C"/>
    <w:rsid w:val="00E125A8"/>
    <w:rsid w:val="00E31E88"/>
    <w:rsid w:val="00E44BEB"/>
    <w:rsid w:val="00E55B6C"/>
    <w:rsid w:val="00E61243"/>
    <w:rsid w:val="00E65723"/>
    <w:rsid w:val="00E726C4"/>
    <w:rsid w:val="00E76B81"/>
    <w:rsid w:val="00E81F7D"/>
    <w:rsid w:val="00E853B9"/>
    <w:rsid w:val="00E93758"/>
    <w:rsid w:val="00EB6F15"/>
    <w:rsid w:val="00EB7DDB"/>
    <w:rsid w:val="00EC1DE3"/>
    <w:rsid w:val="00EC5E00"/>
    <w:rsid w:val="00EE33FD"/>
    <w:rsid w:val="00F134D9"/>
    <w:rsid w:val="00F1376E"/>
    <w:rsid w:val="00F207E3"/>
    <w:rsid w:val="00F3222E"/>
    <w:rsid w:val="00F44617"/>
    <w:rsid w:val="00F63B01"/>
    <w:rsid w:val="00F72332"/>
    <w:rsid w:val="00F77EC7"/>
    <w:rsid w:val="00F86CCD"/>
    <w:rsid w:val="00F90ACE"/>
    <w:rsid w:val="00FA0428"/>
    <w:rsid w:val="00FA1BCA"/>
    <w:rsid w:val="00FA1ED5"/>
    <w:rsid w:val="00FB0260"/>
    <w:rsid w:val="00FB6E3E"/>
    <w:rsid w:val="00FB74E7"/>
    <w:rsid w:val="00FB7738"/>
    <w:rsid w:val="00FC0A81"/>
    <w:rsid w:val="00FC2B22"/>
    <w:rsid w:val="00FD3DA0"/>
    <w:rsid w:val="00FD6FEF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FBD3CF-3431-4DB0-92B1-EAD76C86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14"/>
      <w:szCs w:val="14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3">
    <w:name w:val="Body Text 23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Head1">
    <w:name w:val="Head1"/>
    <w:basedOn w:val="Normal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customStyle="1" w:styleId="Normal2">
    <w:name w:val="Normal 2"/>
    <w:basedOn w:val="Normal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styleId="Nmerodepgina">
    <w:name w:val="page number"/>
    <w:basedOn w:val="Fuentedeprrafopredeter"/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customStyle="1" w:styleId="CM37">
    <w:name w:val="CM37"/>
    <w:basedOn w:val="Normal"/>
    <w:next w:val="Normal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</w:rPr>
  </w:style>
  <w:style w:type="paragraph" w:styleId="Sangradetextonormal">
    <w:name w:val="Body Text Indent"/>
    <w:basedOn w:val="Normal"/>
    <w:pPr>
      <w:ind w:left="2829" w:hanging="714"/>
      <w:jc w:val="both"/>
    </w:pPr>
    <w:rPr>
      <w:rFonts w:cs="Arial"/>
      <w:sz w:val="18"/>
      <w:szCs w:val="18"/>
      <w:lang w:val="es-BO" w:eastAsia="en-US"/>
    </w:rPr>
  </w:style>
  <w:style w:type="paragraph" w:styleId="Sangra2detindependiente">
    <w:name w:val="Body Text Indent 2"/>
    <w:basedOn w:val="Normal"/>
    <w:pPr>
      <w:ind w:left="1080"/>
      <w:jc w:val="both"/>
    </w:pPr>
    <w:rPr>
      <w:rFonts w:ascii="Arial Narrow" w:hAnsi="Arial Narrow" w:cs="Arial"/>
      <w:sz w:val="22"/>
      <w:szCs w:val="18"/>
      <w:lang w:val="es-BO" w:eastAsia="en-US"/>
    </w:rPr>
  </w:style>
  <w:style w:type="paragraph" w:styleId="Sangra3detindependiente">
    <w:name w:val="Body Text Indent 3"/>
    <w:basedOn w:val="Normal"/>
    <w:pPr>
      <w:ind w:left="1414"/>
      <w:jc w:val="both"/>
    </w:pPr>
    <w:rPr>
      <w:rFonts w:ascii="Arial Narrow" w:hAnsi="Arial Narrow" w:cs="Arial"/>
      <w:sz w:val="22"/>
      <w:szCs w:val="18"/>
      <w:lang w:val="es-BO"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  <w:sz w:val="18"/>
      <w:szCs w:val="20"/>
    </w:rPr>
  </w:style>
  <w:style w:type="paragraph" w:styleId="Textoindependiente3">
    <w:name w:val="Body Text 3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b/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Head2">
    <w:name w:val="Head2"/>
    <w:basedOn w:val="Normal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pPr>
      <w:widowControl w:val="0"/>
      <w:ind w:left="709" w:hanging="709"/>
      <w:jc w:val="both"/>
    </w:pPr>
    <w:rPr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oindependiente3Car">
    <w:name w:val="Texto independiente 3 Car"/>
    <w:link w:val="Textoindependiente3"/>
    <w:rsid w:val="0066722D"/>
    <w:rPr>
      <w:rFonts w:ascii="Arial" w:hAnsi="Arial" w:cs="Arial"/>
      <w:sz w:val="18"/>
      <w:lang w:val="es-ES" w:eastAsia="es-ES"/>
    </w:rPr>
  </w:style>
  <w:style w:type="table" w:styleId="Tablaconcuadrcula">
    <w:name w:val="Table Grid"/>
    <w:basedOn w:val="Tablanormal"/>
    <w:uiPriority w:val="59"/>
    <w:rsid w:val="003A6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DA3CDA"/>
    <w:rPr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DA3CDA"/>
    <w:pPr>
      <w:ind w:left="720"/>
    </w:pPr>
    <w:rPr>
      <w:sz w:val="20"/>
      <w:szCs w:val="20"/>
      <w:lang w:val="es-BO" w:eastAsia="en-US"/>
    </w:rPr>
  </w:style>
  <w:style w:type="paragraph" w:customStyle="1" w:styleId="3">
    <w:name w:val="3"/>
    <w:basedOn w:val="Normal"/>
    <w:next w:val="Puesto"/>
    <w:link w:val="TtuloCar"/>
    <w:qFormat/>
    <w:rsid w:val="00494035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  <w:lang w:val="es-BO" w:eastAsia="es-BO"/>
    </w:rPr>
  </w:style>
  <w:style w:type="character" w:customStyle="1" w:styleId="TtuloCar">
    <w:name w:val="Título Car"/>
    <w:link w:val="3"/>
    <w:rsid w:val="00494035"/>
    <w:rPr>
      <w:rFonts w:cs="Arial"/>
      <w:b/>
      <w:bCs/>
      <w:kern w:val="28"/>
      <w:szCs w:val="32"/>
      <w:lang w:val="es-BO"/>
    </w:rPr>
  </w:style>
  <w:style w:type="paragraph" w:styleId="Puesto">
    <w:name w:val="Title"/>
    <w:aliases w:val="Título"/>
    <w:basedOn w:val="Normal"/>
    <w:next w:val="Normal"/>
    <w:link w:val="PuestoCar"/>
    <w:qFormat/>
    <w:rsid w:val="0049403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PuestoCar">
    <w:name w:val="Puesto Car"/>
    <w:aliases w:val="Título Car1"/>
    <w:link w:val="Puesto"/>
    <w:uiPriority w:val="10"/>
    <w:rsid w:val="00494035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paragraph" w:customStyle="1" w:styleId="1">
    <w:name w:val="1"/>
    <w:basedOn w:val="Normal"/>
    <w:next w:val="Puesto"/>
    <w:qFormat/>
    <w:rsid w:val="00A552E4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  <w:lang w:val="es-BO" w:eastAsia="es-BO"/>
    </w:rPr>
  </w:style>
  <w:style w:type="paragraph" w:styleId="Revisin">
    <w:name w:val="Revision"/>
    <w:hidden/>
    <w:uiPriority w:val="99"/>
    <w:semiHidden/>
    <w:rsid w:val="00A552E4"/>
    <w:rPr>
      <w:sz w:val="24"/>
      <w:szCs w:val="24"/>
      <w:lang w:val="es-ES" w:eastAsia="es-ES"/>
    </w:rPr>
  </w:style>
  <w:style w:type="paragraph" w:customStyle="1" w:styleId="2">
    <w:name w:val="2"/>
    <w:basedOn w:val="Normal"/>
    <w:next w:val="Puesto"/>
    <w:qFormat/>
    <w:rsid w:val="00514A5B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s_x0020_GADM xmlns="edeb5b1b-d001-4899-92a5-da3aa96fe81d">Departamento de Compras y Contrataciones</Areas_x0020_GADM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384AAC150B64B8CD2A86467AD00E3" ma:contentTypeVersion="2" ma:contentTypeDescription="Crear nuevo documento." ma:contentTypeScope="" ma:versionID="9dedd85e53f4543f1718a62351c1ca6e">
  <xsd:schema xmlns:xsd="http://www.w3.org/2001/XMLSchema" xmlns:p="http://schemas.microsoft.com/office/2006/metadata/properties" xmlns:ns2="edeb5b1b-d001-4899-92a5-da3aa96fe81d" targetNamespace="http://schemas.microsoft.com/office/2006/metadata/properties" ma:root="true" ma:fieldsID="ba1cdd97cd80196bc016ef6543449381" ns2:_="">
    <xsd:import namespace="edeb5b1b-d001-4899-92a5-da3aa96fe81d"/>
    <xsd:element name="properties">
      <xsd:complexType>
        <xsd:sequence>
          <xsd:element name="documentManagement">
            <xsd:complexType>
              <xsd:all>
                <xsd:element ref="ns2:Areas_x0020_GAD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deb5b1b-d001-4899-92a5-da3aa96fe81d" elementFormDefault="qualified">
    <xsd:import namespace="http://schemas.microsoft.com/office/2006/documentManagement/types"/>
    <xsd:element name="Areas_x0020_GADM" ma:index="8" ma:displayName="Área" ma:default="Gerencia de Administración" ma:description="Lista de unidades de la Gerencia de Administración" ma:format="Dropdown" ma:internalName="Areas_x0020_GADM">
      <xsd:simpleType>
        <xsd:restriction base="dms:Choice">
          <xsd:enumeration value="Gerencia de Administración"/>
          <xsd:enumeration value="Subgerencia de Servicios Generales"/>
          <xsd:enumeration value="Subgerencia de Contabilidad"/>
          <xsd:enumeration value="Departamento de Bienes y Servicios"/>
          <xsd:enumeration value="Departamento de Compras y Contrataciones"/>
          <xsd:enumeration value="Departamento de Biblioteca"/>
          <xsd:enumeration value="Departamento de Seguridad Integral"/>
          <xsd:enumeration value="Departamento de Análisis Financiero"/>
          <xsd:enumeration value="Departamento de Adm. del Sistema Contable"/>
          <xsd:enumeration value="Departamento de Gestión Document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A2F9C-612F-4111-8289-3BD1BC390344}">
  <ds:schemaRefs>
    <ds:schemaRef ds:uri="http://schemas.microsoft.com/office/2006/metadata/properties"/>
    <ds:schemaRef ds:uri="http://schemas.microsoft.com/office/infopath/2007/PartnerControls"/>
    <ds:schemaRef ds:uri="edeb5b1b-d001-4899-92a5-da3aa96fe81d"/>
  </ds:schemaRefs>
</ds:datastoreItem>
</file>

<file path=customXml/itemProps2.xml><?xml version="1.0" encoding="utf-8"?>
<ds:datastoreItem xmlns:ds="http://schemas.openxmlformats.org/officeDocument/2006/customXml" ds:itemID="{9022EB5E-A6D1-45C6-87C8-887D5604F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60458-599E-49BF-8DB5-CFDD4CC13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5b1b-d001-4899-92a5-da3aa96fe8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C1447DD-6263-4A1D-8A36-698EA074614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649B122-F0E4-4431-AF58-15CAF3C0B0E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2222872-7D9D-4DDB-A60C-DD04D9CA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Banco Central de Bolivia</Company>
  <LinksUpToDate>false</LinksUpToDate>
  <CharactersWithSpaces>9228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OFlores</dc:creator>
  <cp:keywords/>
  <dc:description/>
  <cp:lastModifiedBy>Maria Luisa Ticona Condori</cp:lastModifiedBy>
  <cp:revision>2</cp:revision>
  <cp:lastPrinted>2021-09-24T21:18:00Z</cp:lastPrinted>
  <dcterms:created xsi:type="dcterms:W3CDTF">2021-09-24T22:39:00Z</dcterms:created>
  <dcterms:modified xsi:type="dcterms:W3CDTF">2021-09-24T22:39:00Z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